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-350" w:hanging="787" w:hangingChars="210"/>
        <w:jc w:val="left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附表2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  <w:t>山东省国际贸易摩擦法律服务团评估标准</w:t>
      </w:r>
    </w:p>
    <w:tbl>
      <w:tblPr>
        <w:tblStyle w:val="3"/>
        <w:tblW w:w="15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53"/>
        <w:gridCol w:w="3798"/>
        <w:gridCol w:w="1456"/>
        <w:gridCol w:w="992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反馈时间、方式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评估部门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日常工作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测评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法律咨询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次月10日前，服务律所书面报省商务厅或联系市商务局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联系市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商务局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提供咨询或建议≥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月，得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月；</w:t>
            </w:r>
          </w:p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提供咨询或建议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-4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月，得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月；</w:t>
            </w:r>
          </w:p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提供咨询或建议</w:t>
            </w:r>
            <w:r>
              <w:rPr>
                <w:rFonts w:hint="eastAsia" w:ascii="宋体" w:hAnsi="宋体" w:eastAsia="宋体" w:cs="微软雅黑"/>
                <w:kern w:val="0"/>
                <w:sz w:val="21"/>
                <w:szCs w:val="21"/>
              </w:rPr>
              <w:t>﹤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案件辅导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次月10日前，服务律所书面报省商务厅及联系市商务局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联系市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商务局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辅导企业≥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月，得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月；</w:t>
            </w:r>
          </w:p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辅导企业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-4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月，得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月；</w:t>
            </w:r>
          </w:p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辅导企业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﹤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家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月，不得分。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业务培训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21"/>
                <w:szCs w:val="21"/>
              </w:rPr>
              <w:t>培训结束10日内，服务律所将培训情况书面报省商务厅及联系市商务局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联系市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商务局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举办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人以上的培训，每举办1次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得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信息预警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次月10号前，服务律所汇总报联系市商务局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联系市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商务局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发布数量≥3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季度，得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季度；</w:t>
            </w:r>
          </w:p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发布数量20</w:t>
            </w:r>
            <w:r>
              <w:rPr>
                <w:rFonts w:hint="eastAsia" w:ascii="宋体" w:hAnsi="宋体"/>
                <w:kern w:val="0"/>
                <w:szCs w:val="21"/>
              </w:rPr>
              <w:t>-29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季度，得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季度；</w:t>
            </w:r>
          </w:p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发布数量10</w:t>
            </w:r>
            <w:r>
              <w:rPr>
                <w:rFonts w:hint="eastAsia" w:ascii="宋体" w:hAnsi="宋体"/>
                <w:kern w:val="0"/>
                <w:szCs w:val="21"/>
              </w:rPr>
              <w:t>-19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季度，得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季度；</w:t>
            </w:r>
          </w:p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发布数量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﹤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10条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季度，不得分。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合规体检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次年1月10日前，服务律所报省商务厅及联系市商务局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联系市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商务局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重点企业合规体检≥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年，得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5分；</w:t>
            </w:r>
          </w:p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重点企业合规体检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年，得10分；</w:t>
            </w:r>
          </w:p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重点企业合规体检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﹤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年末测评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工作配合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次年1月10日前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省商务厅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提供贸易救济政策变化分析，提供法律知识和案例分析，提供政策咨询意见建议等。根据质量酌情计分，最高得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年度工作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总结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次年1月10日前，服务律所报省商务厅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省商务厅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根据质量酌情计分，最高得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市商务局满意度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次年1月10日前，15市商务局汇总报省商务厅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省商务厅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非常满意：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分；满意：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分；基本满意：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分，一般：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分；不满意：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企业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满意度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次年1月10日前，15市商务局汇总报省商务厅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省商务厅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非常满意：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40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分；满意：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分；基本满意：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分，一般：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分；不满意：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年度评估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日常评估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与年终评估结合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次年1月底前，省商务厅组织专家组年度评估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省商务厅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日常工作测评得分×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60%+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年末测评得分×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40%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。</w:t>
            </w:r>
          </w:p>
        </w:tc>
      </w:tr>
    </w:tbl>
    <w:p>
      <w:pPr>
        <w:spacing w:line="20" w:lineRule="exact"/>
        <w:ind w:firstLine="4780" w:firstLineChars="1427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1587" w:right="1814" w:bottom="1587" w:left="1814" w:header="720" w:footer="1417" w:gutter="0"/>
          <w:cols w:space="0" w:num="1"/>
          <w:rtlGutter w:val="0"/>
          <w:docGrid w:type="linesAndChars" w:linePitch="620" w:charSpace="3237"/>
        </w:sect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ind w:firstLine="4780" w:firstLineChars="1427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5" w:type="default"/>
      <w:pgSz w:w="16840" w:h="11907" w:orient="landscape"/>
      <w:pgMar w:top="1587" w:right="1814" w:bottom="1587" w:left="1814" w:header="720" w:footer="1417" w:gutter="0"/>
      <w:cols w:space="0" w:num="1"/>
      <w:rtlGutter w:val="0"/>
      <w:docGrid w:type="linesAndChars" w:linePitch="620" w:charSpace="3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0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B11F0"/>
    <w:rsid w:val="4AC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2021-08-10T01:21:00Z</dcterms:created>
  <dc:creator>紫灵君</dc:creator>
  <cp:lastModifiedBy>紫灵君</cp:lastModifiedBy>
  <dcterms:modified xsi:type="dcterms:W3CDTF">2021-08-10T01:21:42Z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774DC14C27F3435F94CD21EBCF34659C</vt:lpwstr>
  </property>
</Properties>
</file>