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B8" w:rsidRPr="00AB43B8" w:rsidRDefault="00AB43B8" w:rsidP="00AB43B8">
      <w:pPr>
        <w:widowControl/>
        <w:spacing w:before="420" w:after="510" w:line="66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0"/>
          <w:szCs w:val="30"/>
        </w:rPr>
      </w:pPr>
      <w:r w:rsidRPr="00AB43B8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质检总局办公厅关于做好2017年电梯安全监管工作的通知（</w:t>
      </w:r>
      <w:proofErr w:type="gramStart"/>
      <w:r w:rsidRPr="00AB43B8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质检办特</w:t>
      </w:r>
      <w:proofErr w:type="gramEnd"/>
      <w:r w:rsidRPr="00AB43B8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〔2017〕332号）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各省、自治区、直辖市及新疆生产建设兵团质量技术监督局（市场监督管理部门），各有关单位：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经过连续</w:t>
      </w:r>
      <w:bookmarkStart w:id="0" w:name="_GoBack"/>
      <w:bookmarkEnd w:id="0"/>
      <w:r>
        <w:rPr>
          <w:rFonts w:ascii="微软雅黑" w:eastAsia="微软雅黑" w:hAnsi="微软雅黑" w:hint="eastAsia"/>
          <w:color w:val="444444"/>
          <w:sz w:val="23"/>
          <w:szCs w:val="23"/>
        </w:rPr>
        <w:t>两年的会战和攻坚，电梯安全监管取得了明显成效。为贯彻落实全国质检工作会议精神，根据《2017年质量监督检验检疫工作要点》，各地要进一步加强电梯安全监管工作，巩固电梯安全会战攻坚成果，推进安全监管改革创新，切实落实企业安全主体责任，促进电梯安全水平持续提升。现就有关工作通知如下：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一、巩固攻坚成果，开展隐患排查整治“回头看”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巩固2015年电梯安全大会战和2016年攻坚战成果，组织开展电梯隐患排查整治“回头看”，找准原因、加大协调、综合治理、攻坚克难，全面完成挂牌督办电梯隐患整治工作，消除事故隐患和安全风险。一是检查整改落实情况。针对2015年以来电梯安全大会战、攻坚战集中整治的建档问题电梯，各地要结合日常监管与重点时段安全检查组织“回头看”，监督检查整改落实情况，防止原有问题死灰复燃，同时对发现的新问题要责令停用、查找原因、彻底整改。二是完成挂牌督办电梯整改。对还在挂牌督办、未完成整改的建档问题电梯，要以“啃硬骨头”的精神，依托地方政府，联合相关部门，明确完成整改时间节点，采取综合治理措施，加大整治力度，逐台整改销号。三是完善隐患排查整治和风险防控机制。认真总结大会战、攻坚战隐患排查整治的经验和问题，坚持风险预控、关口前移，全面推行安全</w:t>
      </w:r>
      <w:r>
        <w:rPr>
          <w:rFonts w:ascii="微软雅黑" w:eastAsia="微软雅黑" w:hAnsi="微软雅黑" w:hint="eastAsia"/>
          <w:color w:val="444444"/>
          <w:sz w:val="23"/>
          <w:szCs w:val="23"/>
        </w:rPr>
        <w:lastRenderedPageBreak/>
        <w:t>风险分级管控，形成制度化、常态化的隐患排查治理体系，结合本地区实际，突出重大活动保障时段和人员密集场所，不断强化电梯隐患排查整治工作，及时发现问题，及时整改问题，消除隐患与风险，保障安全。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二、提升信息化手段，推进应急服务平台全覆盖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坚持质检为民宗旨，服务民生保障，推进电梯应急处置服务平台各省全覆盖，并以此为基础，全面推进电梯信息化建设，实现精准监管、科学监管。一是推进应急服务平台全覆盖。按照总局有关部署要求，深入推进电梯应急处置服务平台建设，特别要加快较大城市建设进度，年底前实现各省（自治区、直辖市）均有城市(区)运行电梯应急处置服务平台；同时对于已建立平台的省份，要提高应急平台覆盖面，并努力拓展其深度，完善电梯应急处置和服务功能。二是完善数据统计分析。按照总局特种设备局印发的《电梯应急处置平台数据归集规则（试行）》，调整规范相关数据记录和汇总统计分析工作；以省会或中心城市电梯应急处置服务平台为基础，重点建立省级数据中心，实现全省数据上传归集和分析监测；同时按照统一的数据归集规则，向总局电梯故障数据分析及风险监测信息平台上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传相关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数据，更大范围开展数据统计分析和风险监测预警。三是推动建立综合信息服务平台。各地要以电梯应急处置服务平台为基础，逐步整合现有行政许可、监察检验、使用登记等信息化数据库，建设综合性监管工作平台和信息公示平台；研究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构建全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寿命周期电梯大数据风险监测与处置系统，逐步实现电梯产品质量安全可追溯，运用大数据信息手段，实现对电梯的动态监管、精准监管、科学监管。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三、推行信息公示机制，倒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逼企业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落实主体责任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lastRenderedPageBreak/>
        <w:t>各地应当因地制宜、多种方式推行电梯维保质量等信息公示，充分发挥社会监督和市场机制作用，全面落实电梯使用、维保安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全主体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责任。一是鼓励企业主动信息公开。支持行业组织制定并实施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电梯维保服务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的团体标准，鼓励企业标准自我声明和服务质量公开承诺，并试点开展维保质量常态考核和退出机制。二是定期发布应急平台数据分析报告。定期统计分析电梯应急处置等信息平台数据，及时向媒体、社会发布电梯故障等数据分析报告。三是强化维保质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量状况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等信息公布。在定期公布特种设备安全状况的同时，定期发布本地区电梯安全总体状况、电梯维护保养单位监管工作状况、电梯检验工作情况等；通过张贴维保信息、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扫二维码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查询等多种方式，加大电梯维保信息公示，并与公众积极互动；运用应急平台等综合数据，支持行业组织开展行业自律，公布维保单位状况，营造优质优价的良性竞争环境。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四、严格标准创新机制，激发企业自主管理能动性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持续推进法制、机制的完善和创新，坚持“放管服”的原则，实施分类监管，发挥企业自我约束和市场激励机制，促进产品和服务质量提升。一是打造更严规范标准。通过故障统计数据和近年事故分析，开展关键技术研究，修订完善安全技术规范和国家标准，提出适应我国国情、更为严格的技术要求，促进电梯产品质量安全水平提升。二是发挥保险监督机制。总结推广保险 服务的电梯综合保险试点经验，积极引入保险企业参与对电梯使用、维保的监督机制。三是激发企业自主管理能动性。选择部分技术先进、管理到位、信誉良好的维保单位，试点</w:t>
      </w:r>
      <w:proofErr w:type="gramStart"/>
      <w:r>
        <w:rPr>
          <w:rFonts w:ascii="微软雅黑" w:eastAsia="微软雅黑" w:hAnsi="微软雅黑" w:hint="eastAsia"/>
          <w:color w:val="444444"/>
          <w:sz w:val="23"/>
          <w:szCs w:val="23"/>
        </w:rPr>
        <w:t>实时线</w:t>
      </w:r>
      <w:proofErr w:type="gramEnd"/>
      <w:r>
        <w:rPr>
          <w:rFonts w:ascii="微软雅黑" w:eastAsia="微软雅黑" w:hAnsi="微软雅黑" w:hint="eastAsia"/>
          <w:color w:val="444444"/>
          <w:sz w:val="23"/>
          <w:szCs w:val="23"/>
        </w:rPr>
        <w:t>上检查维护和按需现场保养维护相结合的维保新模式；在强化使用、维保单位自行检查检测基础上，试点分类调整定期检验周期，激发企业提升维保服务质量的内生动力。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五、加强宣传教育，营造良好社会氛围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lastRenderedPageBreak/>
        <w:t>利用“全国中小学生安全日”“六一”等时间节点，以孩子和家长喜闻乐见的方式，继续大力开展电梯法律法规、安全知识的宣传和教育。继续在“质量月”中举办“电梯安全宣传周”活动，集中宣传和普及电梯安全常识，提高全民安全意识，营造“电梯安全、你我有责”的良好社会氛围。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各省级质监部门（市场监督管理部门）在每季度末，将相关信息统计表（见附件）报总局特种设备局。总局将对各地工作落实和进展情况进行督查指导。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 附件：2017年电梯安全工作相关信息统计表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ind w:firstLine="480"/>
        <w:jc w:val="right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质检总局办公厅</w:t>
      </w:r>
    </w:p>
    <w:p w:rsidR="00AB43B8" w:rsidRDefault="00AB43B8" w:rsidP="00AB43B8">
      <w:pPr>
        <w:pStyle w:val="a3"/>
        <w:shd w:val="clear" w:color="auto" w:fill="FFFFFF"/>
        <w:spacing w:before="0" w:beforeAutospacing="0" w:after="300" w:afterAutospacing="0" w:line="450" w:lineRule="atLeast"/>
        <w:jc w:val="right"/>
        <w:textAlignment w:val="baseline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2017年4月6日</w:t>
      </w:r>
    </w:p>
    <w:p w:rsidR="003973C4" w:rsidRDefault="003973C4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Pr="00AB43B8" w:rsidRDefault="00AB43B8" w:rsidP="00AB43B8">
      <w:pPr>
        <w:rPr>
          <w:rFonts w:ascii="方正黑体简体" w:eastAsia="方正黑体简体" w:hAnsi="仿宋" w:cs="仿宋" w:hint="eastAsia"/>
          <w:color w:val="000000"/>
          <w:sz w:val="32"/>
          <w:szCs w:val="32"/>
        </w:rPr>
      </w:pPr>
      <w:r w:rsidRPr="00AB43B8">
        <w:rPr>
          <w:rFonts w:ascii="方正黑体简体" w:eastAsia="方正黑体简体" w:hAnsi="仿宋" w:cs="仿宋" w:hint="eastAsia"/>
          <w:color w:val="000000"/>
          <w:sz w:val="32"/>
          <w:szCs w:val="32"/>
        </w:rPr>
        <w:t>附件：</w:t>
      </w:r>
    </w:p>
    <w:p w:rsidR="00AB43B8" w:rsidRPr="00AB43B8" w:rsidRDefault="00AB43B8" w:rsidP="00AB43B8">
      <w:pPr>
        <w:jc w:val="center"/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</w:pPr>
      <w:r w:rsidRPr="00AB43B8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lastRenderedPageBreak/>
        <w:t>2017年电梯安全工作相关信息统计表</w:t>
      </w:r>
    </w:p>
    <w:p w:rsidR="00AB43B8" w:rsidRPr="00AB43B8" w:rsidRDefault="00AB43B8" w:rsidP="00AB43B8">
      <w:pPr>
        <w:ind w:firstLineChars="150" w:firstLine="480"/>
        <w:rPr>
          <w:rFonts w:ascii="方正仿宋简体" w:eastAsia="方正仿宋简体" w:hAnsi="仿宋" w:cs="仿宋" w:hint="eastAsia"/>
          <w:color w:val="000000"/>
          <w:sz w:val="32"/>
          <w:szCs w:val="32"/>
        </w:rPr>
      </w:pPr>
      <w:r w:rsidRPr="00AB43B8">
        <w:rPr>
          <w:rFonts w:ascii="方正仿宋简体" w:eastAsia="方正仿宋简体" w:hAnsi="仿宋" w:cs="仿宋" w:hint="eastAsia"/>
          <w:color w:val="000000"/>
          <w:sz w:val="32"/>
          <w:szCs w:val="32"/>
        </w:rPr>
        <w:t>填报单位:                      联系人：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3"/>
        <w:gridCol w:w="1946"/>
        <w:gridCol w:w="2364"/>
        <w:gridCol w:w="2077"/>
      </w:tblGrid>
      <w:tr w:rsidR="00AB43B8" w:rsidRPr="00AB43B8" w:rsidTr="00BB3645">
        <w:trPr>
          <w:trHeight w:val="476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截至2016年12月31日，攻坚战中问题建档电梯仍未完成整改数量（电梯安全攻坚的基本数）A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jc w:val="righ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已完成整改数量B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 w:firstLineChars="400" w:firstLine="840"/>
              <w:jc w:val="righ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</w:tr>
      <w:tr w:rsidR="00AB43B8" w:rsidRPr="00AB43B8" w:rsidTr="00BB3645">
        <w:trPr>
          <w:trHeight w:val="537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widowControl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widowControl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正在整改中数量C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 w:firstLineChars="400" w:firstLine="840"/>
              <w:jc w:val="right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</w:tr>
      <w:tr w:rsidR="00AB43B8" w:rsidRPr="00AB43B8" w:rsidTr="00BB3645">
        <w:trPr>
          <w:trHeight w:val="320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widowControl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widowControl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依法封</w:t>
            </w:r>
            <w:proofErr w:type="gramStart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停数量</w:t>
            </w:r>
            <w:proofErr w:type="gramEnd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 w:firstLineChars="400" w:firstLine="840"/>
              <w:jc w:val="right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</w:tr>
      <w:tr w:rsidR="00AB43B8" w:rsidRPr="00AB43B8" w:rsidTr="00BB3645">
        <w:trPr>
          <w:trHeight w:val="398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widowControl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widowControl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继续挂牌督办数量E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 w:firstLineChars="400" w:firstLine="840"/>
              <w:jc w:val="righ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</w:tr>
      <w:tr w:rsidR="00AB43B8" w:rsidRPr="00AB43B8" w:rsidTr="00BB3645">
        <w:trPr>
          <w:trHeight w:val="416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“回头看”新发现问题电梯F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jc w:val="righ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已完成整改数量G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 w:firstLineChars="400" w:firstLine="840"/>
              <w:jc w:val="righ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</w:tr>
      <w:tr w:rsidR="00AB43B8" w:rsidRPr="00AB43B8" w:rsidTr="00BB3645">
        <w:trPr>
          <w:trHeight w:val="40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jc w:val="righ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正在整改中数量H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 w:firstLineChars="400" w:firstLine="840"/>
              <w:jc w:val="right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</w:tr>
      <w:tr w:rsidR="00AB43B8" w:rsidRPr="00AB43B8" w:rsidTr="00BB3645">
        <w:trPr>
          <w:trHeight w:val="278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jc w:val="righ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依法封</w:t>
            </w:r>
            <w:proofErr w:type="gramStart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停数量</w:t>
            </w:r>
            <w:proofErr w:type="gramEnd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 w:firstLineChars="400" w:firstLine="840"/>
              <w:jc w:val="right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</w:tr>
      <w:tr w:rsidR="00AB43B8" w:rsidRPr="00AB43B8" w:rsidTr="00BB3645">
        <w:trPr>
          <w:trHeight w:val="687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rPr>
                <w:rFonts w:ascii="方正仿宋简体" w:eastAsia="方正仿宋简体" w:hAnsi="仿宋" w:cs="仿宋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已建立电梯应急处置平台市（州、盟、区）数J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jc w:val="righ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</w:t>
            </w:r>
            <w:proofErr w:type="gramStart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个</w:t>
            </w:r>
            <w:proofErr w:type="gramEnd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）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是否开通应急处置专用号码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B8" w:rsidRPr="00AB43B8" w:rsidRDefault="00AB43B8" w:rsidP="00AB43B8">
            <w:pPr>
              <w:wordWrap w:val="0"/>
              <w:spacing w:line="360" w:lineRule="exact"/>
              <w:ind w:right="311"/>
              <w:jc w:val="righ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宋体" w:eastAsia="宋体" w:hAnsi="宋体" w:cs="仿宋" w:hint="eastAsia"/>
                <w:color w:val="000000"/>
                <w:szCs w:val="24"/>
              </w:rPr>
              <w:t>□</w:t>
            </w: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 xml:space="preserve">是      </w:t>
            </w:r>
            <w:r w:rsidRPr="00AB43B8">
              <w:rPr>
                <w:rFonts w:ascii="宋体" w:eastAsia="宋体" w:hAnsi="宋体" w:cs="仿宋" w:hint="eastAsia"/>
                <w:color w:val="000000"/>
                <w:szCs w:val="24"/>
              </w:rPr>
              <w:t>□</w:t>
            </w: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否</w:t>
            </w:r>
          </w:p>
        </w:tc>
      </w:tr>
      <w:tr w:rsidR="00AB43B8" w:rsidRPr="00AB43B8" w:rsidTr="00BB3645">
        <w:trPr>
          <w:trHeight w:val="630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360" w:lineRule="exact"/>
              <w:jc w:val="righ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 w:hint="eastAsia"/>
                <w:color w:val="00000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B8" w:rsidRPr="00AB43B8" w:rsidRDefault="00AB43B8" w:rsidP="00AB43B8">
            <w:pPr>
              <w:spacing w:line="360" w:lineRule="exact"/>
              <w:ind w:right="210"/>
              <w:jc w:val="left"/>
              <w:rPr>
                <w:rFonts w:ascii="宋体" w:eastAsia="宋体" w:hAnsi="宋体" w:cs="仿宋" w:hint="eastAsia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号码为：</w:t>
            </w:r>
          </w:p>
        </w:tc>
      </w:tr>
      <w:tr w:rsidR="00AB43B8" w:rsidRPr="00AB43B8" w:rsidTr="00BB3645">
        <w:trPr>
          <w:trHeight w:val="57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400" w:lineRule="exac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平台覆盖电梯数量K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8" w:rsidRPr="00AB43B8" w:rsidRDefault="00AB43B8" w:rsidP="00AB43B8">
            <w:pPr>
              <w:spacing w:beforeLines="50" w:before="156" w:afterLines="50" w:after="156" w:line="400" w:lineRule="exact"/>
              <w:jc w:val="righ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（台）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8" w:rsidRPr="00AB43B8" w:rsidRDefault="00AB43B8" w:rsidP="00AB43B8">
            <w:pPr>
              <w:spacing w:line="360" w:lineRule="exact"/>
              <w:ind w:right="420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是否开展电梯维保质</w:t>
            </w:r>
            <w:proofErr w:type="gramStart"/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量状况</w:t>
            </w:r>
            <w:proofErr w:type="gramEnd"/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等信息公示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8" w:rsidRPr="00AB43B8" w:rsidRDefault="00AB43B8" w:rsidP="00AB43B8">
            <w:pPr>
              <w:spacing w:line="360" w:lineRule="exact"/>
              <w:ind w:right="420" w:firstLineChars="50" w:firstLine="105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宋体" w:eastAsia="宋体" w:hAnsi="宋体" w:cs="仿宋" w:hint="eastAsia"/>
                <w:color w:val="000000"/>
                <w:szCs w:val="24"/>
              </w:rPr>
              <w:t>□</w:t>
            </w: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 xml:space="preserve">是     </w:t>
            </w:r>
            <w:r w:rsidRPr="00AB43B8">
              <w:rPr>
                <w:rFonts w:ascii="宋体" w:eastAsia="宋体" w:hAnsi="宋体" w:cs="仿宋" w:hint="eastAsia"/>
                <w:color w:val="000000"/>
                <w:szCs w:val="24"/>
              </w:rPr>
              <w:t>□</w:t>
            </w: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否</w:t>
            </w:r>
          </w:p>
        </w:tc>
      </w:tr>
      <w:tr w:rsidR="00AB43B8" w:rsidRPr="00AB43B8" w:rsidTr="00BB3645">
        <w:trPr>
          <w:trHeight w:val="511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400" w:lineRule="exac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继续挂牌督办电梯未完成整改的主要原因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8" w:rsidRPr="00AB43B8" w:rsidRDefault="00AB43B8" w:rsidP="00AB43B8">
            <w:pPr>
              <w:spacing w:line="400" w:lineRule="exac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</w:p>
        </w:tc>
      </w:tr>
      <w:tr w:rsidR="00AB43B8" w:rsidRPr="00AB43B8" w:rsidTr="00BB3645">
        <w:trPr>
          <w:trHeight w:val="371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400" w:lineRule="exact"/>
              <w:rPr>
                <w:rFonts w:ascii="方正仿宋简体" w:eastAsia="方正仿宋简体" w:hAnsi="仿宋" w:cs="仿宋" w:hint="eastAsia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“回头看”发现的主要问题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8" w:rsidRPr="00AB43B8" w:rsidRDefault="00AB43B8" w:rsidP="00AB43B8">
            <w:pPr>
              <w:spacing w:line="400" w:lineRule="exact"/>
              <w:rPr>
                <w:rFonts w:ascii="方正仿宋简体" w:eastAsia="方正仿宋简体" w:hAnsi="仿宋" w:cs="仿宋" w:hint="eastAsia"/>
                <w:color w:val="000000"/>
                <w:szCs w:val="24"/>
              </w:rPr>
            </w:pPr>
          </w:p>
        </w:tc>
      </w:tr>
      <w:tr w:rsidR="00AB43B8" w:rsidRPr="00AB43B8" w:rsidTr="00BB3645">
        <w:trPr>
          <w:trHeight w:val="298"/>
          <w:jc w:val="center"/>
        </w:trPr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400" w:lineRule="exac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开展电梯维保质</w:t>
            </w:r>
            <w:proofErr w:type="gramStart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量状况</w:t>
            </w:r>
            <w:proofErr w:type="gramEnd"/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等信息公示的主要形式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8" w:rsidRPr="00AB43B8" w:rsidRDefault="00AB43B8" w:rsidP="00AB43B8">
            <w:pPr>
              <w:spacing w:line="400" w:lineRule="exac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□月度    □季度     □半年     □年度</w:t>
            </w:r>
          </w:p>
        </w:tc>
      </w:tr>
      <w:tr w:rsidR="00AB43B8" w:rsidRPr="00AB43B8" w:rsidTr="00BB3645">
        <w:trPr>
          <w:trHeight w:val="358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8" w:rsidRPr="00AB43B8" w:rsidRDefault="00AB43B8" w:rsidP="00AB43B8">
            <w:pPr>
              <w:spacing w:beforeLines="50" w:before="156" w:afterLines="50" w:after="156" w:line="400" w:lineRule="exac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B8" w:rsidRPr="00AB43B8" w:rsidRDefault="00AB43B8" w:rsidP="00AB43B8">
            <w:pPr>
              <w:spacing w:line="400" w:lineRule="exact"/>
              <w:rPr>
                <w:rFonts w:ascii="方正仿宋简体" w:eastAsia="方正仿宋简体" w:hAnsi="仿宋" w:cs="仿宋" w:hint="eastAsia"/>
                <w:color w:val="000000"/>
                <w:szCs w:val="21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1"/>
              </w:rPr>
              <w:t>内容包括：</w:t>
            </w:r>
          </w:p>
        </w:tc>
      </w:tr>
      <w:tr w:rsidR="00AB43B8" w:rsidRPr="00AB43B8" w:rsidTr="00BB3645">
        <w:trPr>
          <w:trHeight w:val="964"/>
          <w:jc w:val="center"/>
        </w:trPr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8" w:rsidRPr="00AB43B8" w:rsidRDefault="00AB43B8" w:rsidP="00AB43B8">
            <w:pPr>
              <w:spacing w:line="400" w:lineRule="exac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  <w:r w:rsidRPr="00AB43B8">
              <w:rPr>
                <w:rFonts w:ascii="方正仿宋简体" w:eastAsia="方正仿宋简体" w:hAnsi="仿宋" w:cs="仿宋" w:hint="eastAsia"/>
                <w:color w:val="000000"/>
                <w:szCs w:val="24"/>
              </w:rPr>
              <w:t>改革创新、系统构建安全工作长效机制工作中的典型案例、工作亮点（可另附页）：</w:t>
            </w:r>
          </w:p>
          <w:p w:rsidR="00AB43B8" w:rsidRPr="00AB43B8" w:rsidRDefault="00AB43B8" w:rsidP="00AB43B8">
            <w:pPr>
              <w:spacing w:line="400" w:lineRule="exact"/>
              <w:rPr>
                <w:rFonts w:ascii="方正仿宋简体" w:eastAsia="方正仿宋简体" w:hAnsi="仿宋" w:cs="仿宋"/>
                <w:color w:val="000000"/>
                <w:szCs w:val="24"/>
              </w:rPr>
            </w:pPr>
          </w:p>
        </w:tc>
      </w:tr>
    </w:tbl>
    <w:p w:rsidR="00AB43B8" w:rsidRPr="00AB43B8" w:rsidRDefault="00AB43B8" w:rsidP="00AB43B8">
      <w:pPr>
        <w:spacing w:line="400" w:lineRule="exact"/>
        <w:rPr>
          <w:rFonts w:ascii="方正仿宋简体" w:eastAsia="方正仿宋简体" w:hAnsi="仿宋" w:cs="仿宋" w:hint="eastAsia"/>
          <w:color w:val="000000"/>
          <w:sz w:val="24"/>
          <w:szCs w:val="24"/>
        </w:rPr>
      </w:pPr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t>注：1. 此表为季度报表，累计数据截至每月末；</w:t>
      </w:r>
    </w:p>
    <w:p w:rsidR="00AB43B8" w:rsidRPr="00AB43B8" w:rsidRDefault="00AB43B8" w:rsidP="00AB43B8">
      <w:pPr>
        <w:spacing w:line="400" w:lineRule="exact"/>
        <w:ind w:firstLine="420"/>
        <w:rPr>
          <w:rFonts w:ascii="方正仿宋简体" w:eastAsia="方正仿宋简体" w:hAnsi="仿宋" w:cs="仿宋" w:hint="eastAsia"/>
          <w:color w:val="000000"/>
          <w:sz w:val="24"/>
          <w:szCs w:val="24"/>
        </w:rPr>
      </w:pPr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t>2. 数据关系：  A=B+C+D+E ； F=G+H+I；</w:t>
      </w:r>
    </w:p>
    <w:p w:rsidR="00AB43B8" w:rsidRPr="00AB43B8" w:rsidRDefault="00AB43B8" w:rsidP="00AB43B8">
      <w:pPr>
        <w:spacing w:line="400" w:lineRule="exact"/>
        <w:ind w:firstLine="420"/>
        <w:rPr>
          <w:rFonts w:ascii="方正仿宋简体" w:eastAsia="方正仿宋简体" w:hAnsi="仿宋" w:cs="仿宋" w:hint="eastAsia"/>
          <w:color w:val="000000"/>
          <w:sz w:val="24"/>
          <w:szCs w:val="24"/>
        </w:rPr>
      </w:pPr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t>3. 在</w:t>
      </w:r>
      <w:r w:rsidRPr="00AB43B8">
        <w:rPr>
          <w:rFonts w:ascii="宋体" w:eastAsia="宋体" w:hAnsi="宋体" w:cs="仿宋" w:hint="eastAsia"/>
          <w:color w:val="000000"/>
          <w:sz w:val="24"/>
          <w:szCs w:val="24"/>
        </w:rPr>
        <w:t>□</w:t>
      </w:r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t>对应内容处打“</w:t>
      </w:r>
      <w:r w:rsidRPr="00AB43B8">
        <w:rPr>
          <w:rFonts w:ascii="宋体" w:eastAsia="宋体" w:hAnsi="宋体" w:cs="仿宋" w:hint="eastAsia"/>
          <w:color w:val="000000"/>
          <w:sz w:val="24"/>
          <w:szCs w:val="24"/>
        </w:rPr>
        <w:t>√”；</w:t>
      </w: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ind w:leftChars="198" w:left="656" w:hangingChars="100" w:hanging="240"/>
        <w:jc w:val="left"/>
        <w:rPr>
          <w:rFonts w:ascii="方正仿宋简体" w:eastAsia="方正仿宋简体" w:hAnsi="仿宋" w:cs="仿宋" w:hint="eastAsia"/>
          <w:color w:val="000000"/>
          <w:sz w:val="24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ind w:leftChars="198" w:left="656" w:hangingChars="100" w:hanging="240"/>
        <w:jc w:val="left"/>
        <w:rPr>
          <w:rFonts w:ascii="方正仿宋简体" w:eastAsia="方正仿宋简体" w:hAnsi="方正仿宋简体" w:cs="方正仿宋简体" w:hint="eastAsia"/>
          <w:sz w:val="24"/>
          <w:szCs w:val="24"/>
        </w:rPr>
      </w:pPr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t>4.本表请各地于每季度末，以电子邮件报总局特种设备局，上报邮箱：</w:t>
      </w:r>
      <w:proofErr w:type="spellStart"/>
      <w:proofErr w:type="gramStart"/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t>tsjdtc</w:t>
      </w:r>
      <w:proofErr w:type="spellEnd"/>
      <w:proofErr w:type="gramEnd"/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t xml:space="preserve"> </w:t>
      </w:r>
      <w:r w:rsidRPr="00AB43B8">
        <w:rPr>
          <w:rFonts w:ascii="方正仿宋简体" w:eastAsia="方正仿宋简体" w:hAnsi="仿宋" w:cs="仿宋" w:hint="eastAsia"/>
          <w:color w:val="000000"/>
          <w:sz w:val="24"/>
          <w:szCs w:val="24"/>
        </w:rPr>
        <w:lastRenderedPageBreak/>
        <w:t>@aqsiq.gov.cn</w:t>
      </w: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仿宋" w:cs="仿宋" w:hint="eastAsia"/>
          <w:color w:val="000000"/>
          <w:szCs w:val="24"/>
        </w:rPr>
      </w:pPr>
    </w:p>
    <w:p w:rsidR="00AB43B8" w:rsidRPr="00AB43B8" w:rsidRDefault="00AB43B8" w:rsidP="00AB43B8">
      <w:pPr>
        <w:spacing w:line="580" w:lineRule="exact"/>
        <w:ind w:firstLine="210"/>
        <w:jc w:val="center"/>
        <w:rPr>
          <w:rFonts w:ascii="方正仿宋简体" w:eastAsia="方正仿宋简体" w:hAnsi="Times New Roman" w:cs="Times New Roman" w:hint="eastAsia"/>
          <w:szCs w:val="32"/>
        </w:rPr>
      </w:pPr>
    </w:p>
    <w:p w:rsidR="00AB43B8" w:rsidRPr="00AB43B8" w:rsidRDefault="00AB43B8" w:rsidP="00AB43B8">
      <w:pPr>
        <w:pBdr>
          <w:top w:val="single" w:sz="12" w:space="0" w:color="auto"/>
        </w:pBdr>
        <w:spacing w:line="500" w:lineRule="exact"/>
        <w:ind w:firstLine="292"/>
        <w:rPr>
          <w:rFonts w:ascii="方正仿宋简体" w:eastAsia="方正仿宋简体" w:hAnsi="Times New Roman" w:cs="Times New Roman" w:hint="eastAsia"/>
          <w:sz w:val="28"/>
          <w:szCs w:val="28"/>
        </w:rPr>
      </w:pPr>
      <w:r w:rsidRPr="00AB43B8">
        <w:rPr>
          <w:rFonts w:ascii="方正仿宋简体" w:eastAsia="方正仿宋简体" w:hAnsi="Times New Roman" w:cs="Times New Roman" w:hint="eastAsia"/>
          <w:sz w:val="28"/>
          <w:szCs w:val="28"/>
        </w:rPr>
        <w:t>抄送：特种设备安全监察局</w:t>
      </w:r>
    </w:p>
    <w:p w:rsidR="00AB43B8" w:rsidRPr="00AB43B8" w:rsidRDefault="00AB43B8" w:rsidP="00AB43B8">
      <w:pPr>
        <w:pBdr>
          <w:top w:val="single" w:sz="4" w:space="0" w:color="auto"/>
          <w:bottom w:val="single" w:sz="12" w:space="0" w:color="auto"/>
        </w:pBdr>
        <w:spacing w:line="500" w:lineRule="exact"/>
        <w:ind w:firstLineChars="95" w:firstLine="266"/>
        <w:rPr>
          <w:rFonts w:ascii="方正仿宋简体" w:eastAsia="方正仿宋简体" w:hAnsi="Times New Roman" w:cs="Times New Roman"/>
          <w:szCs w:val="32"/>
        </w:rPr>
      </w:pPr>
      <w:r w:rsidRPr="00AB43B8">
        <w:rPr>
          <w:rFonts w:ascii="方正仿宋简体" w:eastAsia="方正仿宋简体" w:hAnsi="Times New Roman" w:cs="Times New Roman" w:hint="eastAsia"/>
          <w:sz w:val="28"/>
          <w:szCs w:val="28"/>
        </w:rPr>
        <w:t>质检总局办公厅                            2017年4月7日印发</w:t>
      </w:r>
    </w:p>
    <w:p w:rsidR="00AB43B8" w:rsidRPr="00AB43B8" w:rsidRDefault="00AB43B8" w:rsidP="00AB43B8"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AB43B8" w:rsidRPr="00AB43B8" w:rsidRDefault="00AB43B8">
      <w:pPr>
        <w:rPr>
          <w:rFonts w:hint="eastAsia"/>
        </w:rPr>
      </w:pPr>
    </w:p>
    <w:p w:rsidR="00AB43B8" w:rsidRDefault="00AB43B8">
      <w:pPr>
        <w:rPr>
          <w:rFonts w:hint="eastAsia"/>
        </w:rPr>
      </w:pPr>
    </w:p>
    <w:p w:rsidR="00AB43B8" w:rsidRDefault="00AB43B8"/>
    <w:sectPr w:rsidR="00AB4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97"/>
    <w:rsid w:val="003973C4"/>
    <w:rsid w:val="00AB43B8"/>
    <w:rsid w:val="00E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2017-04-18T01:02:00Z</dcterms:created>
  <dcterms:modified xsi:type="dcterms:W3CDTF">2017-04-18T01:02:00Z</dcterms:modified>
</cp:coreProperties>
</file>