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sz w:val="44"/>
          <w:szCs w:val="44"/>
        </w:rPr>
      </w:pPr>
      <w:bookmarkStart w:id="0" w:name="_GoBack"/>
      <w:bookmarkEnd w:id="0"/>
    </w:p>
    <w:p>
      <w:pPr>
        <w:spacing w:line="6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山东省市场监督管理局关于实施电梯维护</w:t>
      </w:r>
    </w:p>
    <w:p>
      <w:pPr>
        <w:spacing w:line="64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保养单位告知性登记制度的通知</w:t>
      </w:r>
    </w:p>
    <w:p>
      <w:pPr>
        <w:widowControl/>
        <w:spacing w:line="560" w:lineRule="exact"/>
        <w:rPr>
          <w:rFonts w:ascii="仿宋_GB2312" w:hAnsi="Arial" w:eastAsia="仿宋_GB2312" w:cs="Arial"/>
          <w:sz w:val="32"/>
          <w:szCs w:val="32"/>
        </w:rPr>
      </w:pPr>
    </w:p>
    <w:p>
      <w:pPr>
        <w:spacing w:line="620" w:lineRule="exact"/>
        <w:rPr>
          <w:rFonts w:ascii="仿宋_GB2312" w:hAnsi="Arial" w:eastAsia="仿宋_GB2312" w:cs="Arial"/>
          <w:sz w:val="32"/>
          <w:szCs w:val="32"/>
        </w:rPr>
      </w:pPr>
      <w:r>
        <w:rPr>
          <w:rFonts w:hint="eastAsia" w:ascii="仿宋_GB2312" w:hAnsi="Arial" w:eastAsia="仿宋_GB2312" w:cs="Arial"/>
          <w:sz w:val="32"/>
          <w:szCs w:val="32"/>
        </w:rPr>
        <w:t>各市市场监督管理局，各有关单位：</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山东省特种设备安全条例》第三十二条规定：电梯维护保养单位在电梯所在地首次开展维护保养前，应当书面告知电梯所在地设区的市市场监督管理部门。为深入推动政务服务提质增效“高效办成一件事”，现就实施电梯维护保养单位告知性登记制度通知如下：</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电梯维护保养单位在电梯所在地首次开展维护保养前，向电梯所在地设区的市市场监督管理部门进行告知性登记，并对告知登记信息的真实性负责。告知登记工作原则上依托本市“96333”电梯应急处置服务平台采用网上办理方式进行办理（</w:t>
      </w:r>
      <w:r>
        <w:rPr>
          <w:rFonts w:hint="eastAsia" w:ascii="仿宋_GB2312" w:hAnsi="Arial" w:eastAsia="仿宋_GB2312" w:cs="Arial"/>
          <w:sz w:val="32"/>
          <w:szCs w:val="32"/>
          <w:lang w:val="en-US" w:eastAsia="zh-CN"/>
        </w:rPr>
        <w:t>网上办理流程</w:t>
      </w:r>
      <w:r>
        <w:rPr>
          <w:rFonts w:hint="eastAsia" w:ascii="仿宋_GB2312" w:hAnsi="Arial" w:eastAsia="仿宋_GB2312" w:cs="Arial"/>
          <w:sz w:val="32"/>
          <w:szCs w:val="32"/>
        </w:rPr>
        <w:t>见附件）。</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二、设区的市市场监监督管理部门要在网上及时确认接收电梯维护保养单位提交的告知性登记相关信息，并将告知登记信息及时在本部门网站向社会公开。</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坚持告知登记信息动态更新，对已告知登记的电梯维护保养单位相关信息发生变化的，电梯维护保养单位要及时在网上补充告知更新的相关信息。设区的市市场监督管理部门及时接收电梯维护保养单位更新后的相关信息，并向社会公开，方便社会查询。</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四、各级市场监督管理部门在开展电梯维护保养单位告知性登记工作的同时，要从严对电梯维护保养工作质量的监督检查，依法严肃查处违法违规行为，对故障率高的电梯维护保养单位要采取顶格处罚、公开曝光、联合惩戒等严管措施，强化全社会对电梯维护保养工作的监督，引导电梯维保市场良性发展，提升维护保养质量。</w:t>
      </w: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本通知自2024年3月XX日起施行，有效期至2029年4月XX日。</w:t>
      </w:r>
    </w:p>
    <w:p>
      <w:pPr>
        <w:spacing w:line="620" w:lineRule="exact"/>
        <w:ind w:firstLine="480" w:firstLineChars="150"/>
        <w:rPr>
          <w:rFonts w:ascii="仿宋_GB2312" w:hAnsi="Arial" w:eastAsia="仿宋_GB2312" w:cs="Arial"/>
          <w:sz w:val="32"/>
          <w:szCs w:val="32"/>
        </w:rPr>
      </w:pPr>
    </w:p>
    <w:p>
      <w:pPr>
        <w:spacing w:line="620" w:lineRule="exact"/>
        <w:ind w:firstLine="480" w:firstLineChars="150"/>
        <w:rPr>
          <w:rFonts w:hint="default" w:ascii="仿宋_GB2312" w:hAnsi="Arial" w:eastAsia="仿宋_GB2312" w:cs="Arial"/>
          <w:sz w:val="32"/>
          <w:szCs w:val="32"/>
          <w:lang w:val="en-US" w:eastAsia="zh-CN"/>
        </w:rPr>
      </w:pPr>
      <w:r>
        <w:rPr>
          <w:rFonts w:hint="eastAsia" w:ascii="仿宋_GB2312" w:hAnsi="Arial" w:eastAsia="仿宋_GB2312" w:cs="Arial"/>
          <w:sz w:val="32"/>
          <w:szCs w:val="32"/>
        </w:rPr>
        <w:t xml:space="preserve"> 附件：电梯维护保养单位告知性登记网上</w:t>
      </w:r>
      <w:r>
        <w:rPr>
          <w:rFonts w:hint="eastAsia" w:ascii="仿宋_GB2312" w:hAnsi="Arial" w:eastAsia="仿宋_GB2312" w:cs="Arial"/>
          <w:sz w:val="32"/>
          <w:szCs w:val="32"/>
          <w:lang w:val="en-US" w:eastAsia="zh-CN"/>
        </w:rPr>
        <w:t>办理流程</w:t>
      </w:r>
    </w:p>
    <w:p>
      <w:pPr>
        <w:spacing w:line="620" w:lineRule="exact"/>
        <w:ind w:firstLine="4000" w:firstLineChars="1250"/>
        <w:rPr>
          <w:rFonts w:ascii="仿宋_GB2312" w:hAnsi="Arial" w:eastAsia="仿宋_GB2312" w:cs="Arial"/>
          <w:sz w:val="32"/>
          <w:szCs w:val="32"/>
        </w:rPr>
      </w:pPr>
    </w:p>
    <w:p>
      <w:pPr>
        <w:wordWrap w:val="0"/>
        <w:spacing w:line="620" w:lineRule="exact"/>
        <w:ind w:firstLine="4000" w:firstLineChars="1250"/>
        <w:jc w:val="right"/>
        <w:rPr>
          <w:rFonts w:ascii="仿宋_GB2312" w:hAnsi="Arial" w:eastAsia="仿宋_GB2312" w:cs="Arial"/>
          <w:sz w:val="32"/>
          <w:szCs w:val="32"/>
        </w:rPr>
      </w:pPr>
      <w:r>
        <w:rPr>
          <w:rFonts w:hint="eastAsia" w:ascii="仿宋_GB2312" w:hAnsi="Arial" w:eastAsia="仿宋_GB2312" w:cs="Arial"/>
          <w:sz w:val="32"/>
          <w:szCs w:val="32"/>
        </w:rPr>
        <w:t xml:space="preserve"> 山东省市场监督管理局       </w:t>
      </w:r>
    </w:p>
    <w:p>
      <w:pPr>
        <w:wordWrap w:val="0"/>
        <w:spacing w:line="620" w:lineRule="exact"/>
        <w:ind w:firstLine="640" w:firstLineChars="200"/>
        <w:jc w:val="right"/>
        <w:rPr>
          <w:rFonts w:ascii="仿宋_GB2312" w:hAnsi="Arial" w:eastAsia="仿宋_GB2312" w:cs="Arial"/>
          <w:sz w:val="32"/>
          <w:szCs w:val="32"/>
        </w:rPr>
      </w:pPr>
      <w:r>
        <w:rPr>
          <w:rFonts w:hint="eastAsia" w:ascii="仿宋_GB2312" w:hAnsi="Arial" w:eastAsia="仿宋_GB2312" w:cs="Arial"/>
          <w:sz w:val="32"/>
          <w:szCs w:val="32"/>
        </w:rPr>
        <w:t xml:space="preserve">                        2024年3月  日        </w:t>
      </w:r>
    </w:p>
    <w:p>
      <w:pPr>
        <w:spacing w:line="620" w:lineRule="exact"/>
        <w:ind w:firstLine="640" w:firstLineChars="200"/>
        <w:rPr>
          <w:rFonts w:ascii="仿宋_GB2312" w:hAnsi="Arial" w:eastAsia="仿宋_GB2312" w:cs="Arial"/>
          <w:sz w:val="32"/>
          <w:szCs w:val="32"/>
        </w:rPr>
      </w:pPr>
    </w:p>
    <w:p>
      <w:pPr>
        <w:spacing w:line="620" w:lineRule="exact"/>
        <w:ind w:firstLine="640" w:firstLineChars="200"/>
        <w:rPr>
          <w:rFonts w:ascii="仿宋_GB2312" w:hAnsi="Arial" w:eastAsia="仿宋_GB2312" w:cs="Arial"/>
          <w:sz w:val="32"/>
          <w:szCs w:val="32"/>
        </w:rPr>
      </w:pPr>
    </w:p>
    <w:p>
      <w:pPr>
        <w:spacing w:line="62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（此件主动公开）</w:t>
      </w:r>
    </w:p>
    <w:p>
      <w:pPr>
        <w:widowControl/>
        <w:spacing w:line="520" w:lineRule="atLeast"/>
        <w:rPr>
          <w:rFonts w:ascii="仿宋_GB2312" w:hAnsi="Arial" w:eastAsia="仿宋_GB2312" w:cs="Arial"/>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br w:type="page"/>
      </w:r>
    </w:p>
    <w:p>
      <w:pPr>
        <w:widowControl/>
        <w:spacing w:line="520" w:lineRule="atLeast"/>
        <w:rPr>
          <w:rFonts w:ascii="黑体" w:hAnsi="黑体" w:eastAsia="黑体" w:cs="黑体"/>
          <w:sz w:val="32"/>
          <w:szCs w:val="32"/>
        </w:rPr>
      </w:pPr>
      <w:r>
        <w:rPr>
          <w:rFonts w:hint="eastAsia" w:ascii="黑体" w:hAnsi="黑体" w:eastAsia="黑体" w:cs="黑体"/>
          <w:sz w:val="32"/>
          <w:szCs w:val="32"/>
        </w:rPr>
        <w:t>附件：</w:t>
      </w:r>
    </w:p>
    <w:p>
      <w:pPr>
        <w:jc w:val="both"/>
        <w:rPr>
          <w:rFonts w:hint="eastAsia" w:ascii="方正小标宋简体" w:hAnsi="方正小标宋简体" w:eastAsia="方正小标宋简体" w:cs="方正小标宋简体"/>
          <w:bCs/>
          <w:sz w:val="40"/>
          <w:szCs w:val="40"/>
        </w:rPr>
      </w:pPr>
    </w:p>
    <w:p>
      <w:pPr>
        <w:jc w:val="center"/>
        <w:rPr>
          <w:rFonts w:hint="default" w:ascii="方正小标宋简体" w:hAnsi="方正小标宋简体" w:eastAsia="方正小标宋简体" w:cs="方正小标宋简体"/>
          <w:bCs/>
          <w:sz w:val="40"/>
          <w:szCs w:val="40"/>
          <w:lang w:val="en-US" w:eastAsia="zh-CN"/>
        </w:rPr>
      </w:pPr>
      <w:r>
        <w:rPr>
          <w:rFonts w:hint="eastAsia" w:ascii="方正小标宋简体" w:hAnsi="方正小标宋简体" w:eastAsia="方正小标宋简体" w:cs="方正小标宋简体"/>
          <w:bCs/>
          <w:sz w:val="40"/>
          <w:szCs w:val="40"/>
        </w:rPr>
        <w:t>电梯维护保养单位告知性登记网上办理</w:t>
      </w:r>
      <w:r>
        <w:rPr>
          <w:rFonts w:hint="eastAsia" w:ascii="方正小标宋简体" w:hAnsi="方正小标宋简体" w:eastAsia="方正小标宋简体" w:cs="方正小标宋简体"/>
          <w:bCs/>
          <w:sz w:val="40"/>
          <w:szCs w:val="40"/>
          <w:lang w:val="en-US" w:eastAsia="zh-CN"/>
        </w:rPr>
        <w:t>流程</w:t>
      </w:r>
    </w:p>
    <w:p>
      <w:pPr>
        <w:spacing w:line="360" w:lineRule="auto"/>
        <w:rPr>
          <w:rFonts w:hint="eastAsia" w:ascii="黑体" w:hAnsi="黑体" w:eastAsia="黑体" w:cs="黑体"/>
          <w:bCs/>
          <w:sz w:val="30"/>
          <w:szCs w:val="30"/>
        </w:rPr>
      </w:pPr>
      <w:r>
        <w:rPr>
          <w:rFonts w:hint="eastAsia" w:ascii="仿宋_GB2312" w:eastAsia="仿宋_GB2312"/>
          <w:b/>
          <w:sz w:val="30"/>
          <w:szCs w:val="30"/>
        </w:rPr>
        <w:t xml:space="preserve">  </w:t>
      </w:r>
      <w:r>
        <w:rPr>
          <w:rFonts w:hint="eastAsia" w:ascii="黑体" w:hAnsi="黑体" w:eastAsia="黑体" w:cs="黑体"/>
          <w:bCs/>
          <w:sz w:val="30"/>
          <w:szCs w:val="30"/>
        </w:rPr>
        <w:t xml:space="preserve"> </w:t>
      </w:r>
    </w:p>
    <w:p>
      <w:pPr>
        <w:spacing w:line="360" w:lineRule="auto"/>
        <w:ind w:firstLine="600" w:firstLineChars="200"/>
        <w:rPr>
          <w:rFonts w:ascii="黑体" w:hAnsi="黑体" w:eastAsia="黑体" w:cs="黑体"/>
          <w:bCs/>
          <w:sz w:val="30"/>
          <w:szCs w:val="30"/>
        </w:rPr>
      </w:pPr>
      <w:r>
        <w:rPr>
          <w:rFonts w:hint="eastAsia" w:ascii="黑体" w:hAnsi="黑体" w:eastAsia="黑体" w:cs="黑体"/>
          <w:bCs/>
          <w:sz w:val="30"/>
          <w:szCs w:val="30"/>
        </w:rPr>
        <w:t>一、电梯维护保养单位（德州、威海、枣庄市</w:t>
      </w:r>
      <w:r>
        <w:rPr>
          <w:rFonts w:hint="eastAsia" w:ascii="黑体" w:hAnsi="黑体" w:eastAsia="黑体" w:cs="黑体"/>
          <w:bCs/>
          <w:sz w:val="30"/>
          <w:szCs w:val="30"/>
          <w:lang w:val="en-US" w:eastAsia="zh-CN"/>
        </w:rPr>
        <w:t>除外</w:t>
      </w:r>
      <w:r>
        <w:rPr>
          <w:rFonts w:hint="eastAsia" w:ascii="黑体" w:hAnsi="黑体" w:eastAsia="黑体" w:cs="黑体"/>
          <w:bCs/>
          <w:sz w:val="30"/>
          <w:szCs w:val="30"/>
        </w:rPr>
        <w:t>）</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（一）登录电梯所在地“96333电梯平台”进行注册（已注册请忽略）。在告知性登记列表页面录入告知信息后，点击“提交”按钮，最后点击左上角“批量上传”后等待审核即可。</w:t>
      </w:r>
    </w:p>
    <w:p>
      <w:pPr>
        <w:spacing w:line="360" w:lineRule="auto"/>
        <w:jc w:val="center"/>
        <w:rPr>
          <w:rFonts w:ascii="仿宋_GB2312" w:eastAsia="仿宋_GB2312"/>
          <w:sz w:val="30"/>
          <w:szCs w:val="30"/>
        </w:rPr>
      </w:pPr>
      <w:r>
        <w:rPr>
          <w:rFonts w:hint="eastAsia" w:ascii="仿宋_GB2312" w:eastAsia="仿宋_GB2312"/>
          <w:sz w:val="30"/>
          <w:szCs w:val="30"/>
        </w:rPr>
        <w:drawing>
          <wp:inline distT="0" distB="0" distL="114300" distR="114300">
            <wp:extent cx="3759200" cy="1649095"/>
            <wp:effectExtent l="0" t="0" r="0" b="825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5"/>
                    <a:srcRect b="39731"/>
                    <a:stretch>
                      <a:fillRect/>
                    </a:stretch>
                  </pic:blipFill>
                  <pic:spPr>
                    <a:xfrm>
                      <a:off x="0" y="0"/>
                      <a:ext cx="3780936" cy="1658848"/>
                    </a:xfrm>
                    <a:prstGeom prst="rect">
                      <a:avLst/>
                    </a:prstGeom>
                    <a:noFill/>
                    <a:ln>
                      <a:noFill/>
                    </a:ln>
                  </pic:spPr>
                </pic:pic>
              </a:graphicData>
            </a:graphic>
          </wp:inline>
        </w:drawing>
      </w:r>
    </w:p>
    <w:p>
      <w:pPr>
        <w:spacing w:line="360" w:lineRule="auto"/>
        <w:jc w:val="center"/>
        <w:rPr>
          <w:rFonts w:ascii="仿宋_GB2312" w:eastAsia="仿宋_GB2312"/>
          <w:sz w:val="30"/>
          <w:szCs w:val="30"/>
        </w:rPr>
      </w:pPr>
      <w:r>
        <w:drawing>
          <wp:inline distT="0" distB="0" distL="114300" distR="114300">
            <wp:extent cx="3787140" cy="2495550"/>
            <wp:effectExtent l="0" t="0" r="3810"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6"/>
                    <a:stretch>
                      <a:fillRect/>
                    </a:stretch>
                  </pic:blipFill>
                  <pic:spPr>
                    <a:xfrm>
                      <a:off x="0" y="0"/>
                      <a:ext cx="3823670" cy="2519448"/>
                    </a:xfrm>
                    <a:prstGeom prst="rect">
                      <a:avLst/>
                    </a:prstGeom>
                    <a:noFill/>
                    <a:ln>
                      <a:noFill/>
                    </a:ln>
                  </pic:spPr>
                </pic:pic>
              </a:graphicData>
            </a:graphic>
          </wp:inline>
        </w:drawing>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（二）各市市场监督管理部门负责人员登录“96333电梯平台”，对电梯维护保养单位告知信息进行“确认接收”。</w:t>
      </w:r>
    </w:p>
    <w:p>
      <w:pPr>
        <w:spacing w:line="360" w:lineRule="auto"/>
        <w:jc w:val="center"/>
        <w:rPr>
          <w:rFonts w:ascii="仿宋_GB2312" w:eastAsia="仿宋_GB2312"/>
          <w:sz w:val="30"/>
          <w:szCs w:val="30"/>
        </w:rPr>
      </w:pPr>
      <w:r>
        <w:drawing>
          <wp:inline distT="0" distB="0" distL="114300" distR="114300">
            <wp:extent cx="3599180" cy="1793240"/>
            <wp:effectExtent l="0" t="0" r="127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7"/>
                    <a:srcRect b="12233"/>
                    <a:stretch>
                      <a:fillRect/>
                    </a:stretch>
                  </pic:blipFill>
                  <pic:spPr>
                    <a:xfrm>
                      <a:off x="0" y="0"/>
                      <a:ext cx="3623334" cy="1805355"/>
                    </a:xfrm>
                    <a:prstGeom prst="rect">
                      <a:avLst/>
                    </a:prstGeom>
                    <a:noFill/>
                    <a:ln>
                      <a:noFill/>
                    </a:ln>
                  </pic:spPr>
                </pic:pic>
              </a:graphicData>
            </a:graphic>
          </wp:inline>
        </w:drawing>
      </w:r>
    </w:p>
    <w:p>
      <w:pPr>
        <w:spacing w:line="360" w:lineRule="auto"/>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cs="黑体"/>
          <w:bCs/>
          <w:sz w:val="30"/>
          <w:szCs w:val="30"/>
        </w:rPr>
        <w:t>德州、威海、枣庄市</w:t>
      </w:r>
      <w:r>
        <w:rPr>
          <w:rFonts w:hint="eastAsia" w:ascii="黑体" w:hAnsi="黑体" w:eastAsia="黑体" w:cs="黑体"/>
          <w:bCs/>
          <w:sz w:val="30"/>
          <w:szCs w:val="30"/>
          <w:lang w:val="en-US" w:eastAsia="zh-CN"/>
        </w:rPr>
        <w:t>的</w:t>
      </w:r>
      <w:r>
        <w:rPr>
          <w:rFonts w:hint="eastAsia" w:ascii="黑体" w:hAnsi="黑体" w:eastAsia="黑体"/>
          <w:sz w:val="30"/>
          <w:szCs w:val="30"/>
        </w:rPr>
        <w:t>电梯维护保养单位</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（一）登录“山东省电梯安全公共信息服务平台”页面注册，注册完成后在告知性登记列表页面录入告知信息后，点击“提交”按钮，最后点击左上角“批量上传”后等待审核即可。</w:t>
      </w:r>
    </w:p>
    <w:p>
      <w:pPr>
        <w:spacing w:line="360" w:lineRule="auto"/>
        <w:jc w:val="center"/>
        <w:rPr>
          <w:rFonts w:ascii="仿宋_GB2312" w:eastAsia="仿宋_GB2312"/>
          <w:sz w:val="30"/>
          <w:szCs w:val="30"/>
        </w:rPr>
      </w:pPr>
      <w:r>
        <w:drawing>
          <wp:inline distT="0" distB="0" distL="114300" distR="114300">
            <wp:extent cx="3669030" cy="1415415"/>
            <wp:effectExtent l="0" t="0" r="762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8"/>
                    <a:srcRect b="46823"/>
                    <a:stretch>
                      <a:fillRect/>
                    </a:stretch>
                  </pic:blipFill>
                  <pic:spPr>
                    <a:xfrm>
                      <a:off x="0" y="0"/>
                      <a:ext cx="3699556" cy="1427206"/>
                    </a:xfrm>
                    <a:prstGeom prst="rect">
                      <a:avLst/>
                    </a:prstGeom>
                    <a:noFill/>
                    <a:ln>
                      <a:noFill/>
                    </a:ln>
                  </pic:spPr>
                </pic:pic>
              </a:graphicData>
            </a:graphic>
          </wp:inline>
        </w:drawing>
      </w:r>
    </w:p>
    <w:p>
      <w:pPr>
        <w:spacing w:line="360" w:lineRule="auto"/>
        <w:jc w:val="center"/>
        <w:rPr>
          <w:rFonts w:ascii="仿宋_GB2312" w:eastAsia="仿宋_GB2312"/>
          <w:sz w:val="30"/>
          <w:szCs w:val="30"/>
        </w:rPr>
      </w:pPr>
      <w:r>
        <w:drawing>
          <wp:inline distT="0" distB="0" distL="114300" distR="114300">
            <wp:extent cx="3642360" cy="2463165"/>
            <wp:effectExtent l="0" t="0" r="0" b="0"/>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6"/>
                    <a:stretch>
                      <a:fillRect/>
                    </a:stretch>
                  </pic:blipFill>
                  <pic:spPr>
                    <a:xfrm>
                      <a:off x="0" y="0"/>
                      <a:ext cx="3660189" cy="2474951"/>
                    </a:xfrm>
                    <a:prstGeom prst="rect">
                      <a:avLst/>
                    </a:prstGeom>
                    <a:noFill/>
                    <a:ln>
                      <a:noFill/>
                    </a:ln>
                  </pic:spPr>
                </pic:pic>
              </a:graphicData>
            </a:graphic>
          </wp:inline>
        </w:drawing>
      </w:r>
    </w:p>
    <w:p>
      <w:pPr>
        <w:spacing w:line="360" w:lineRule="auto"/>
        <w:ind w:firstLine="560" w:firstLineChars="200"/>
        <w:rPr>
          <w:rFonts w:ascii="仿宋_GB2312" w:eastAsia="仿宋_GB2312"/>
          <w:sz w:val="30"/>
          <w:szCs w:val="30"/>
        </w:rPr>
      </w:pPr>
      <w:r>
        <w:rPr>
          <w:rFonts w:hint="eastAsia" w:ascii="仿宋_GB2312" w:eastAsia="仿宋_GB2312"/>
          <w:sz w:val="28"/>
          <w:szCs w:val="28"/>
        </w:rPr>
        <w:t>（二）德州、威海、枣庄市的市场监督管理部门负责人员登录“山东省电梯安全公共信息服务平台”账号，对电梯维护保养单位告知信息进行“确认接收”。</w:t>
      </w:r>
    </w:p>
    <w:p>
      <w:pPr>
        <w:spacing w:line="360" w:lineRule="auto"/>
        <w:jc w:val="center"/>
        <w:rPr>
          <w:rFonts w:ascii="仿宋_GB2312" w:eastAsia="仿宋_GB2312"/>
          <w:sz w:val="32"/>
          <w:szCs w:val="32"/>
        </w:rPr>
      </w:pPr>
      <w:r>
        <w:drawing>
          <wp:inline distT="0" distB="0" distL="114300" distR="114300">
            <wp:extent cx="3660140" cy="1896745"/>
            <wp:effectExtent l="0" t="0" r="0" b="8255"/>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7"/>
                    <a:srcRect b="14222"/>
                    <a:stretch>
                      <a:fillRect/>
                    </a:stretch>
                  </pic:blipFill>
                  <pic:spPr>
                    <a:xfrm>
                      <a:off x="0" y="0"/>
                      <a:ext cx="3671098" cy="1902441"/>
                    </a:xfrm>
                    <a:prstGeom prst="rect">
                      <a:avLst/>
                    </a:prstGeom>
                    <a:noFill/>
                    <a:ln>
                      <a:noFill/>
                    </a:ln>
                  </pic:spPr>
                </pic:pic>
              </a:graphicData>
            </a:graphic>
          </wp:inline>
        </w:drawing>
      </w:r>
    </w:p>
    <w:p>
      <w:pPr>
        <w:widowControl/>
        <w:spacing w:line="520" w:lineRule="atLeast"/>
        <w:ind w:firstLine="600" w:firstLineChars="200"/>
        <w:rPr>
          <w:rFonts w:hint="eastAsia" w:ascii="黑体" w:hAnsi="黑体" w:eastAsia="黑体" w:cs="黑体"/>
          <w:sz w:val="30"/>
          <w:szCs w:val="30"/>
        </w:rPr>
      </w:pPr>
      <w:r>
        <w:rPr>
          <w:rFonts w:hint="eastAsia" w:ascii="黑体" w:hAnsi="黑体" w:eastAsia="黑体"/>
          <w:sz w:val="30"/>
          <w:szCs w:val="30"/>
        </w:rPr>
        <w:t>三、各市9</w:t>
      </w:r>
      <w:r>
        <w:rPr>
          <w:rFonts w:ascii="黑体" w:hAnsi="黑体" w:eastAsia="黑体"/>
          <w:sz w:val="30"/>
          <w:szCs w:val="30"/>
        </w:rPr>
        <w:t>6333</w:t>
      </w:r>
      <w:r>
        <w:rPr>
          <w:rFonts w:hint="eastAsia" w:ascii="黑体" w:hAnsi="黑体" w:eastAsia="黑体"/>
          <w:sz w:val="30"/>
          <w:szCs w:val="30"/>
        </w:rPr>
        <w:t>平台登录网址</w:t>
      </w:r>
    </w:p>
    <w:tbl>
      <w:tblPr>
        <w:tblStyle w:val="5"/>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150"/>
        <w:gridCol w:w="4290"/>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88" w:type="dxa"/>
            <w:vAlign w:val="center"/>
          </w:tcPr>
          <w:p>
            <w:pPr>
              <w:widowControl/>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150" w:type="dxa"/>
            <w:vAlign w:val="center"/>
          </w:tcPr>
          <w:p>
            <w:pPr>
              <w:widowControl/>
              <w:spacing w:line="360" w:lineRule="auto"/>
              <w:jc w:val="center"/>
              <w:rPr>
                <w:rFonts w:hint="eastAsia" w:ascii="黑体" w:hAnsi="黑体" w:eastAsia="黑体" w:cs="黑体"/>
                <w:szCs w:val="21"/>
              </w:rPr>
            </w:pPr>
            <w:r>
              <w:rPr>
                <w:rFonts w:hint="eastAsia" w:ascii="黑体" w:hAnsi="黑体" w:eastAsia="黑体" w:cs="黑体"/>
                <w:szCs w:val="21"/>
              </w:rPr>
              <w:t>市</w:t>
            </w:r>
          </w:p>
        </w:tc>
        <w:tc>
          <w:tcPr>
            <w:tcW w:w="4290" w:type="dxa"/>
            <w:vAlign w:val="center"/>
          </w:tcPr>
          <w:p>
            <w:pPr>
              <w:widowControl/>
              <w:spacing w:line="360" w:lineRule="auto"/>
              <w:jc w:val="center"/>
              <w:rPr>
                <w:rFonts w:hint="eastAsia" w:ascii="黑体" w:hAnsi="黑体" w:eastAsia="黑体" w:cs="黑体"/>
                <w:szCs w:val="21"/>
              </w:rPr>
            </w:pPr>
            <w:r>
              <w:rPr>
                <w:rFonts w:hint="eastAsia" w:ascii="黑体" w:hAnsi="黑体" w:eastAsia="黑体" w:cs="黑体"/>
                <w:szCs w:val="21"/>
              </w:rPr>
              <w:t>登录地址</w:t>
            </w:r>
          </w:p>
        </w:tc>
        <w:tc>
          <w:tcPr>
            <w:tcW w:w="2208" w:type="dxa"/>
            <w:vAlign w:val="center"/>
          </w:tcPr>
          <w:p>
            <w:pPr>
              <w:widowControl/>
              <w:spacing w:line="360" w:lineRule="auto"/>
              <w:jc w:val="center"/>
              <w:rPr>
                <w:rFonts w:hint="default" w:ascii="黑体" w:hAnsi="黑体" w:eastAsia="黑体" w:cs="黑体"/>
                <w:szCs w:val="21"/>
                <w:lang w:val="en-US" w:eastAsia="zh-CN"/>
              </w:rPr>
            </w:pPr>
            <w:r>
              <w:rPr>
                <w:rFonts w:hint="eastAsia" w:ascii="黑体" w:hAnsi="黑体" w:eastAsia="黑体" w:cs="黑体"/>
                <w:szCs w:val="21"/>
                <w:lang w:val="en-US" w:eastAsia="zh-CN"/>
              </w:rPr>
              <w:t>技术支持电话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88"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1</w:t>
            </w:r>
          </w:p>
        </w:tc>
        <w:tc>
          <w:tcPr>
            <w:tcW w:w="1150"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济南</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http://119.164.252.199:8083/</w:t>
            </w:r>
          </w:p>
        </w:tc>
        <w:tc>
          <w:tcPr>
            <w:tcW w:w="2208" w:type="dxa"/>
            <w:vMerge w:val="restart"/>
            <w:vAlign w:val="center"/>
          </w:tcPr>
          <w:p>
            <w:pPr>
              <w:widowControl/>
              <w:spacing w:line="360" w:lineRule="auto"/>
              <w:jc w:val="center"/>
              <w:rPr>
                <w:rFonts w:ascii="仿宋_GB2312" w:hAnsi="Arial" w:eastAsia="仿宋_GB2312" w:cs="Arial"/>
                <w:szCs w:val="21"/>
              </w:rPr>
            </w:pPr>
            <w:r>
              <w:rPr>
                <w:rFonts w:hint="eastAsia"/>
              </w:rPr>
              <w:t>0531-81903</w:t>
            </w:r>
            <w:r>
              <w:t>592</w:t>
            </w:r>
            <w:r>
              <w:rPr>
                <w:rFonts w:hint="eastAsia"/>
              </w:rPr>
              <w:t xml:space="preserve">  15969692662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88"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2</w:t>
            </w:r>
          </w:p>
        </w:tc>
        <w:tc>
          <w:tcPr>
            <w:tcW w:w="1150"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青岛</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http://120.221.95.1:8083/</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88"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3</w:t>
            </w:r>
          </w:p>
        </w:tc>
        <w:tc>
          <w:tcPr>
            <w:tcW w:w="1150"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淄博</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http://www.ts365.org/zbwb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88" w:type="dxa"/>
            <w:vAlign w:val="center"/>
          </w:tcPr>
          <w:p>
            <w:pPr>
              <w:widowControl/>
              <w:spacing w:line="360" w:lineRule="auto"/>
              <w:jc w:val="center"/>
              <w:rPr>
                <w:rFonts w:hint="eastAsia" w:ascii="仿宋_GB2312" w:hAnsi="Arial" w:eastAsia="仿宋_GB2312" w:cs="Arial"/>
                <w:szCs w:val="21"/>
              </w:rPr>
            </w:pPr>
            <w:r>
              <w:rPr>
                <w:rFonts w:hint="eastAsia" w:ascii="仿宋_GB2312" w:hAnsi="Arial" w:eastAsia="仿宋_GB2312" w:cs="Arial"/>
                <w:szCs w:val="21"/>
              </w:rPr>
              <w:t>4</w:t>
            </w:r>
          </w:p>
        </w:tc>
        <w:tc>
          <w:tcPr>
            <w:tcW w:w="1150" w:type="dxa"/>
            <w:vAlign w:val="center"/>
          </w:tcPr>
          <w:p>
            <w:pPr>
              <w:widowControl/>
              <w:spacing w:line="360" w:lineRule="auto"/>
              <w:jc w:val="center"/>
              <w:rPr>
                <w:rFonts w:hint="eastAsia" w:ascii="仿宋_GB2312" w:hAnsi="Arial" w:eastAsia="仿宋_GB2312" w:cs="Arial"/>
                <w:szCs w:val="21"/>
              </w:rPr>
            </w:pPr>
            <w:r>
              <w:rPr>
                <w:rFonts w:hint="eastAsia" w:ascii="仿宋_GB2312" w:hAnsi="Arial" w:eastAsia="仿宋_GB2312" w:cs="Arial"/>
                <w:szCs w:val="21"/>
              </w:rPr>
              <w:t>枣庄</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http://www.ts365.org/96333wb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88"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5</w:t>
            </w:r>
          </w:p>
        </w:tc>
        <w:tc>
          <w:tcPr>
            <w:tcW w:w="1150"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东营</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http://www.ts365.org/dywb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88"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6</w:t>
            </w:r>
          </w:p>
        </w:tc>
        <w:tc>
          <w:tcPr>
            <w:tcW w:w="1150"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烟台</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http://www.ts365.org/ytwb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88"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7</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潍坊</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http://www.ts365.org/wfwb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88"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8</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济宁</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http://www.ts365.org/jnwb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9</w:t>
            </w:r>
          </w:p>
        </w:tc>
        <w:tc>
          <w:tcPr>
            <w:tcW w:w="1150" w:type="dxa"/>
            <w:vAlign w:val="center"/>
          </w:tcPr>
          <w:p>
            <w:pPr>
              <w:widowControl/>
              <w:spacing w:line="360" w:lineRule="auto"/>
              <w:jc w:val="center"/>
              <w:rPr>
                <w:rFonts w:ascii="仿宋_GB2312" w:hAnsi="Arial" w:eastAsia="仿宋_GB2312" w:cs="Arial"/>
                <w:szCs w:val="21"/>
              </w:rPr>
            </w:pPr>
            <w:r>
              <w:rPr>
                <w:rFonts w:hint="eastAsia" w:ascii="仿宋_GB2312" w:hAnsi="Arial" w:eastAsia="仿宋_GB2312" w:cs="Arial"/>
                <w:szCs w:val="21"/>
              </w:rPr>
              <w:t>泰安</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http://www.ts365.org/tawb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0</w:t>
            </w:r>
          </w:p>
        </w:tc>
        <w:tc>
          <w:tcPr>
            <w:tcW w:w="1150" w:type="dxa"/>
            <w:vAlign w:val="center"/>
          </w:tcPr>
          <w:p>
            <w:pPr>
              <w:widowControl/>
              <w:spacing w:line="360" w:lineRule="auto"/>
              <w:jc w:val="center"/>
              <w:rPr>
                <w:rFonts w:hint="eastAsia" w:ascii="仿宋_GB2312" w:hAnsi="Arial" w:eastAsia="仿宋_GB2312" w:cs="Arial"/>
                <w:szCs w:val="21"/>
              </w:rPr>
            </w:pPr>
            <w:r>
              <w:rPr>
                <w:rFonts w:hint="eastAsia" w:ascii="仿宋_GB2312" w:hAnsi="Arial" w:eastAsia="仿宋_GB2312" w:cs="Arial"/>
                <w:szCs w:val="21"/>
              </w:rPr>
              <w:t>威海</w:t>
            </w:r>
          </w:p>
        </w:tc>
        <w:tc>
          <w:tcPr>
            <w:tcW w:w="4290" w:type="dxa"/>
            <w:vAlign w:val="center"/>
          </w:tcPr>
          <w:p>
            <w:pPr>
              <w:widowControl/>
              <w:spacing w:line="360" w:lineRule="auto"/>
              <w:jc w:val="center"/>
              <w:rPr>
                <w:rFonts w:ascii="仿宋_GB2312" w:hAnsi="Arial" w:eastAsia="仿宋_GB2312" w:cs="Arial"/>
                <w:szCs w:val="21"/>
              </w:rPr>
            </w:pPr>
            <w:r>
              <w:rPr>
                <w:rFonts w:ascii="仿宋_GB2312" w:hAnsi="Arial" w:eastAsia="仿宋_GB2312" w:cs="Arial"/>
                <w:szCs w:val="21"/>
              </w:rPr>
              <w:t>http://www.ts365.org/96333wb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1</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日照</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http://www.ts365.org/rzwb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2</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临沂</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http://111.16.49.21:8083/</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3</w:t>
            </w:r>
          </w:p>
        </w:tc>
        <w:tc>
          <w:tcPr>
            <w:tcW w:w="1150"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德州</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http://www.ts365.org/96333wb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4</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聊城</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http://www.ts365.org/lcwb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788"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5</w:t>
            </w:r>
          </w:p>
        </w:tc>
        <w:tc>
          <w:tcPr>
            <w:tcW w:w="1150"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滨州</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http://www.ts365.org/bzwb</w:t>
            </w:r>
          </w:p>
        </w:tc>
        <w:tc>
          <w:tcPr>
            <w:tcW w:w="2208" w:type="dxa"/>
            <w:vMerge w:val="continue"/>
            <w:vAlign w:val="center"/>
          </w:tcPr>
          <w:p>
            <w:pPr>
              <w:widowControl/>
              <w:spacing w:line="360" w:lineRule="auto"/>
              <w:jc w:val="center"/>
              <w:rPr>
                <w:rFonts w:ascii="仿宋_GB2312"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88" w:type="dxa"/>
            <w:vAlign w:val="center"/>
          </w:tcPr>
          <w:p>
            <w:pPr>
              <w:widowControl/>
              <w:spacing w:line="360" w:lineRule="auto"/>
              <w:jc w:val="center"/>
              <w:rPr>
                <w:rFonts w:hint="eastAsia" w:ascii="仿宋_GB2312" w:hAnsi="Arial" w:eastAsia="仿宋_GB2312" w:cs="Arial"/>
                <w:kern w:val="2"/>
                <w:sz w:val="21"/>
                <w:szCs w:val="21"/>
                <w:lang w:val="en-US" w:eastAsia="zh-CN" w:bidi="ar-SA"/>
              </w:rPr>
            </w:pPr>
            <w:r>
              <w:rPr>
                <w:rFonts w:hint="eastAsia" w:ascii="仿宋_GB2312" w:hAnsi="Arial" w:eastAsia="仿宋_GB2312" w:cs="Arial"/>
                <w:szCs w:val="21"/>
              </w:rPr>
              <w:t>1</w:t>
            </w:r>
            <w:r>
              <w:rPr>
                <w:rFonts w:ascii="仿宋_GB2312" w:hAnsi="Arial" w:eastAsia="仿宋_GB2312" w:cs="Arial"/>
                <w:szCs w:val="21"/>
              </w:rPr>
              <w:t>6</w:t>
            </w:r>
          </w:p>
        </w:tc>
        <w:tc>
          <w:tcPr>
            <w:tcW w:w="115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hint="eastAsia" w:ascii="仿宋_GB2312" w:hAnsi="Arial" w:eastAsia="仿宋_GB2312" w:cs="Arial"/>
                <w:szCs w:val="21"/>
              </w:rPr>
              <w:t>菏泽</w:t>
            </w:r>
          </w:p>
        </w:tc>
        <w:tc>
          <w:tcPr>
            <w:tcW w:w="4290" w:type="dxa"/>
            <w:vAlign w:val="center"/>
          </w:tcPr>
          <w:p>
            <w:pPr>
              <w:widowControl/>
              <w:spacing w:line="360" w:lineRule="auto"/>
              <w:jc w:val="center"/>
              <w:rPr>
                <w:rFonts w:ascii="仿宋_GB2312" w:hAnsi="Arial" w:eastAsia="仿宋_GB2312" w:cs="Arial"/>
                <w:kern w:val="2"/>
                <w:sz w:val="21"/>
                <w:szCs w:val="21"/>
                <w:lang w:val="en-US" w:eastAsia="zh-CN" w:bidi="ar-SA"/>
              </w:rPr>
            </w:pPr>
            <w:r>
              <w:rPr>
                <w:rFonts w:ascii="仿宋_GB2312" w:hAnsi="Arial" w:eastAsia="仿宋_GB2312" w:cs="Arial"/>
                <w:szCs w:val="21"/>
              </w:rPr>
              <w:t>http://www.ts365.org/hzwb</w:t>
            </w:r>
          </w:p>
        </w:tc>
        <w:tc>
          <w:tcPr>
            <w:tcW w:w="2208" w:type="dxa"/>
            <w:vMerge w:val="continue"/>
            <w:vAlign w:val="center"/>
          </w:tcPr>
          <w:p>
            <w:pPr>
              <w:widowControl/>
              <w:spacing w:line="360" w:lineRule="auto"/>
              <w:jc w:val="center"/>
              <w:rPr>
                <w:rFonts w:ascii="仿宋_GB2312" w:hAnsi="Arial" w:eastAsia="仿宋_GB2312" w:cs="Arial"/>
                <w:szCs w:val="21"/>
              </w:rPr>
            </w:pPr>
          </w:p>
        </w:tc>
      </w:tr>
    </w:tbl>
    <w:p/>
    <w:sectPr>
      <w:footerReference r:id="rId3" w:type="default"/>
      <w:pgSz w:w="11906" w:h="16838"/>
      <w:pgMar w:top="1814"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5E7618"/>
    <w:rsid w:val="000D4797"/>
    <w:rsid w:val="00196D9E"/>
    <w:rsid w:val="002234CD"/>
    <w:rsid w:val="00224F7F"/>
    <w:rsid w:val="0026023F"/>
    <w:rsid w:val="0027022B"/>
    <w:rsid w:val="003F2E10"/>
    <w:rsid w:val="00502CA7"/>
    <w:rsid w:val="00592F23"/>
    <w:rsid w:val="005F7693"/>
    <w:rsid w:val="00603301"/>
    <w:rsid w:val="00654C33"/>
    <w:rsid w:val="00805AFC"/>
    <w:rsid w:val="008E0321"/>
    <w:rsid w:val="00AC5714"/>
    <w:rsid w:val="00AD797F"/>
    <w:rsid w:val="00B0239D"/>
    <w:rsid w:val="00B51C12"/>
    <w:rsid w:val="00BF289B"/>
    <w:rsid w:val="00D5047F"/>
    <w:rsid w:val="00E23C33"/>
    <w:rsid w:val="00EA2AC5"/>
    <w:rsid w:val="00F166DB"/>
    <w:rsid w:val="00F92474"/>
    <w:rsid w:val="00FB5EA6"/>
    <w:rsid w:val="0C9D19DF"/>
    <w:rsid w:val="12E96491"/>
    <w:rsid w:val="140B4B20"/>
    <w:rsid w:val="30714A4B"/>
    <w:rsid w:val="38FD4C49"/>
    <w:rsid w:val="3CB84F64"/>
    <w:rsid w:val="4E422097"/>
    <w:rsid w:val="52101439"/>
    <w:rsid w:val="535C6AC7"/>
    <w:rsid w:val="715E7618"/>
    <w:rsid w:val="7DAF4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spacing w:beforeAutospacing="1" w:afterAutospacing="1"/>
      <w:jc w:val="left"/>
    </w:pPr>
    <w:rPr>
      <w:kern w:val="0"/>
      <w:sz w:val="2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258</Words>
  <Characters>1476</Characters>
  <Lines>12</Lines>
  <Paragraphs>3</Paragraphs>
  <TotalTime>21</TotalTime>
  <ScaleCrop>false</ScaleCrop>
  <LinksUpToDate>false</LinksUpToDate>
  <CharactersWithSpaces>1731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2024-02-18T07:51:00Z</dcterms:created>
  <dc:creator>lenovo</dc:creator>
  <cp:lastModifiedBy>lenovo</cp:lastModifiedBy>
  <cp:lastPrinted>2024-02-20T02:19:40Z</cp:lastPrinted>
  <dcterms:modified xsi:type="dcterms:W3CDTF">2024-02-20T06:39:51Z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