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8C" w:rsidRPr="00DA458C" w:rsidRDefault="00DA458C" w:rsidP="00DA458C">
      <w:pPr>
        <w:widowControl/>
        <w:shd w:val="clear" w:color="auto" w:fill="FFFFFF"/>
        <w:jc w:val="center"/>
        <w:outlineLvl w:val="0"/>
        <w:rPr>
          <w:rFonts w:asciiTheme="minorEastAsia" w:hAnsiTheme="minorEastAsia" w:cs="宋体"/>
          <w:b/>
          <w:bCs/>
          <w:color w:val="404040"/>
          <w:kern w:val="36"/>
          <w:sz w:val="36"/>
          <w:szCs w:val="36"/>
        </w:rPr>
      </w:pPr>
      <w:r w:rsidRPr="00DA458C">
        <w:rPr>
          <w:rFonts w:asciiTheme="minorEastAsia" w:hAnsiTheme="minorEastAsia" w:cs="宋体"/>
          <w:b/>
          <w:bCs/>
          <w:color w:val="404040"/>
          <w:kern w:val="36"/>
          <w:sz w:val="36"/>
          <w:szCs w:val="36"/>
        </w:rPr>
        <w:t>质检总局办公厅关于开展2017年特种设备安全隐患排查和治理的通知</w:t>
      </w:r>
    </w:p>
    <w:p w:rsidR="0099052A" w:rsidRPr="00DA458C" w:rsidRDefault="00DA458C" w:rsidP="00DA458C">
      <w:pPr>
        <w:jc w:val="center"/>
        <w:rPr>
          <w:rFonts w:asciiTheme="minorEastAsia" w:hAnsiTheme="minorEastAsia" w:hint="eastAsia"/>
          <w:b/>
          <w:sz w:val="30"/>
          <w:szCs w:val="30"/>
        </w:rPr>
      </w:pPr>
      <w:r w:rsidRPr="00DA458C">
        <w:rPr>
          <w:rFonts w:asciiTheme="minorEastAsia" w:hAnsiTheme="minorEastAsia" w:hint="eastAsia"/>
          <w:b/>
          <w:sz w:val="30"/>
          <w:szCs w:val="30"/>
        </w:rPr>
        <w:t>（</w:t>
      </w:r>
      <w:proofErr w:type="gramStart"/>
      <w:r w:rsidRPr="00DA458C">
        <w:rPr>
          <w:rFonts w:asciiTheme="minorEastAsia" w:hAnsiTheme="minorEastAsia" w:hint="eastAsia"/>
          <w:b/>
          <w:sz w:val="30"/>
          <w:szCs w:val="30"/>
        </w:rPr>
        <w:t>质检办特</w:t>
      </w:r>
      <w:proofErr w:type="gramEnd"/>
      <w:r w:rsidRPr="00DA458C">
        <w:rPr>
          <w:rFonts w:asciiTheme="minorEastAsia" w:hAnsiTheme="minorEastAsia" w:hint="eastAsia"/>
          <w:b/>
          <w:sz w:val="30"/>
          <w:szCs w:val="30"/>
        </w:rPr>
        <w:t>〔2017〕146号）</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404040"/>
          <w:kern w:val="0"/>
          <w:sz w:val="30"/>
          <w:szCs w:val="30"/>
        </w:rPr>
        <w:t>各省、自治区、直辖市及新疆生产建设兵团质量技术监督局（市场监督管理部门），各有关单位：</w:t>
      </w:r>
    </w:p>
    <w:p w:rsidR="00DA458C" w:rsidRPr="00DA458C" w:rsidRDefault="00DA458C" w:rsidP="00DA458C">
      <w:pPr>
        <w:widowControl/>
        <w:shd w:val="clear" w:color="auto" w:fill="FFFFFF"/>
        <w:spacing w:before="390" w:after="390" w:line="594" w:lineRule="atLeast"/>
        <w:ind w:firstLine="464"/>
        <w:rPr>
          <w:rFonts w:ascii="Microsoft Yahei" w:eastAsia="宋体" w:hAnsi="Microsoft Yahei" w:cs="宋体"/>
          <w:color w:val="404040"/>
          <w:kern w:val="0"/>
          <w:sz w:val="30"/>
          <w:szCs w:val="30"/>
        </w:rPr>
      </w:pPr>
      <w:r w:rsidRPr="00DA458C">
        <w:rPr>
          <w:rFonts w:ascii="宋体" w:eastAsia="宋体" w:hAnsi="宋体" w:cs="宋体" w:hint="eastAsia"/>
          <w:color w:val="404040"/>
          <w:spacing w:val="-4"/>
          <w:kern w:val="0"/>
          <w:sz w:val="30"/>
          <w:szCs w:val="30"/>
        </w:rPr>
        <w:t>为深入贯彻习近平总书记、李克强总理关于安全生产工作的重要指示批示精神，认真落实全国安全生产电视电话会议和全国质量监督检验检疫工作会议要求，切实做好特种设备安全保障工作，为党的十九大胜利召开营造良好的特种设备安全氛围，质检总局2017年将全面开展特种设备安全隐患排查和治理，有关要求如下：</w:t>
      </w:r>
    </w:p>
    <w:p w:rsidR="00DA458C" w:rsidRPr="00DA458C" w:rsidRDefault="00DA458C" w:rsidP="00DA458C">
      <w:pPr>
        <w:widowControl/>
        <w:shd w:val="clear" w:color="auto" w:fill="FFFFFF"/>
        <w:spacing w:before="390" w:after="390" w:line="594" w:lineRule="atLeast"/>
        <w:ind w:firstLine="480"/>
        <w:jc w:val="left"/>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一、工作目标</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特种设备使用单位安全主体责任得到有效落实，特种设备安全隐患进一步得到排查和有效治理，风险防控与隐患排查治理长效机制进一步完善，坚决遏制重特大事故和重大影响事件，坚决防范系统性、区域性、行业性的特种设备事故。</w:t>
      </w:r>
    </w:p>
    <w:p w:rsidR="00DA458C" w:rsidRPr="00DA458C" w:rsidRDefault="00DA458C" w:rsidP="00DA458C">
      <w:pPr>
        <w:widowControl/>
        <w:shd w:val="clear" w:color="auto" w:fill="FFFFFF"/>
        <w:spacing w:before="390" w:after="390" w:line="594" w:lineRule="atLeast"/>
        <w:ind w:firstLine="480"/>
        <w:jc w:val="left"/>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二、工作重点</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以涉及民生、人员密集场所、盛装危险化学品的高风险特种设备为重点，突出对学校、幼儿园和医院、车站、客运码头、商</w:t>
      </w:r>
      <w:r w:rsidRPr="00DA458C">
        <w:rPr>
          <w:rFonts w:ascii="宋体" w:eastAsia="宋体" w:hAnsi="宋体" w:cs="宋体" w:hint="eastAsia"/>
          <w:color w:val="000000"/>
          <w:kern w:val="0"/>
          <w:sz w:val="30"/>
          <w:szCs w:val="30"/>
        </w:rPr>
        <w:lastRenderedPageBreak/>
        <w:t>场、体育场馆、展览馆、公园等公众聚集场所的特种设备，以及客运索道、大型游乐设施和盛装毒性程度为极度高度危害介质、易燃易爆介质的承压类特种设备，组织开展安全隐患排查和治理。</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三、职责分工</w:t>
      </w:r>
    </w:p>
    <w:p w:rsidR="00DA458C" w:rsidRPr="00DA458C" w:rsidRDefault="00DA458C" w:rsidP="00DA458C">
      <w:pPr>
        <w:widowControl/>
        <w:shd w:val="clear" w:color="auto" w:fill="FFFFFF"/>
        <w:spacing w:before="390" w:after="390" w:line="594" w:lineRule="atLeast"/>
        <w:ind w:firstLine="482"/>
        <w:rPr>
          <w:rFonts w:ascii="Microsoft Yahei" w:eastAsia="宋体" w:hAnsi="Microsoft Yahei" w:cs="宋体"/>
          <w:color w:val="404040"/>
          <w:kern w:val="0"/>
          <w:sz w:val="30"/>
          <w:szCs w:val="30"/>
        </w:rPr>
      </w:pPr>
      <w:r w:rsidRPr="00DA458C">
        <w:rPr>
          <w:rFonts w:ascii="宋体" w:eastAsia="宋体" w:hAnsi="宋体" w:cs="宋体" w:hint="eastAsia"/>
          <w:b/>
          <w:bCs/>
          <w:color w:val="000000"/>
          <w:kern w:val="0"/>
          <w:sz w:val="30"/>
          <w:szCs w:val="30"/>
        </w:rPr>
        <w:t>（一）特种设备使用单位。</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应对</w:t>
      </w:r>
      <w:proofErr w:type="gramStart"/>
      <w:r w:rsidRPr="00DA458C">
        <w:rPr>
          <w:rFonts w:ascii="宋体" w:eastAsia="宋体" w:hAnsi="宋体" w:cs="宋体" w:hint="eastAsia"/>
          <w:color w:val="000000"/>
          <w:kern w:val="0"/>
          <w:sz w:val="30"/>
          <w:szCs w:val="30"/>
        </w:rPr>
        <w:t>照相关</w:t>
      </w:r>
      <w:proofErr w:type="gramEnd"/>
      <w:r w:rsidRPr="00DA458C">
        <w:rPr>
          <w:rFonts w:ascii="宋体" w:eastAsia="宋体" w:hAnsi="宋体" w:cs="宋体" w:hint="eastAsia"/>
          <w:color w:val="000000"/>
          <w:kern w:val="0"/>
          <w:sz w:val="30"/>
          <w:szCs w:val="30"/>
        </w:rPr>
        <w:t>法律法规、部门规章、安全技术规范及规范性文件要求，实施全方位、全过程的特种设备安全隐患排查，不放过任何一个环节，不漏掉任何一个疑点，重点对特种设备是否进行使用登记、安全管理制度和操作规程是否建立并有效实施、人员持证和培训是否符合要求、设备档案是否完备、设备是否在检验有效期内、经常性维护保养和定期自行检查是否到位、安全附件和安全保护装置是否在有效期内等进行检查，列出问题清单，建立</w:t>
      </w:r>
      <w:proofErr w:type="gramStart"/>
      <w:r w:rsidRPr="00DA458C">
        <w:rPr>
          <w:rFonts w:ascii="宋体" w:eastAsia="宋体" w:hAnsi="宋体" w:cs="宋体" w:hint="eastAsia"/>
          <w:color w:val="000000"/>
          <w:kern w:val="0"/>
          <w:sz w:val="30"/>
          <w:szCs w:val="30"/>
        </w:rPr>
        <w:t>隐患台</w:t>
      </w:r>
      <w:proofErr w:type="gramEnd"/>
      <w:r w:rsidRPr="00DA458C">
        <w:rPr>
          <w:rFonts w:ascii="宋体" w:eastAsia="宋体" w:hAnsi="宋体" w:cs="宋体" w:hint="eastAsia"/>
          <w:color w:val="000000"/>
          <w:kern w:val="0"/>
          <w:sz w:val="30"/>
          <w:szCs w:val="30"/>
        </w:rPr>
        <w:t>账，逐一落实整改，主动将隐患排查和治理情况向所在地的监管部门和行业主管部门报送，并接受各级特种设备安全监督管理部门（以下简称监管部门）、行业主管部门、检验机构的监督检查。要做</w:t>
      </w:r>
      <w:r w:rsidRPr="00DA458C">
        <w:rPr>
          <w:rFonts w:ascii="宋体" w:eastAsia="宋体" w:hAnsi="宋体" w:cs="宋体" w:hint="eastAsia"/>
          <w:color w:val="010101"/>
          <w:kern w:val="0"/>
          <w:sz w:val="30"/>
          <w:szCs w:val="30"/>
        </w:rPr>
        <w:t>到责任、措施、资金、时限和预案“五落实”，到期未完成安全隐患整改、无法保证安全时，应停止使用相关设施设备，</w:t>
      </w:r>
      <w:r w:rsidRPr="00DA458C">
        <w:rPr>
          <w:rFonts w:ascii="宋体" w:eastAsia="宋体" w:hAnsi="宋体" w:cs="宋体" w:hint="eastAsia"/>
          <w:color w:val="000000"/>
          <w:kern w:val="0"/>
          <w:sz w:val="30"/>
          <w:szCs w:val="30"/>
        </w:rPr>
        <w:t>并及时报告地方政府和上级部门。</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lastRenderedPageBreak/>
        <w:t>中央企业、省级大型重点企业应当做好带头表率，制定本企业特种设备安全隐患排查和治理方案，并认真予以落实，上级公司要做好对下级单位的工作指导和检查。</w:t>
      </w:r>
    </w:p>
    <w:p w:rsidR="00DA458C" w:rsidRPr="00DA458C" w:rsidRDefault="00DA458C" w:rsidP="00DA458C">
      <w:pPr>
        <w:widowControl/>
        <w:shd w:val="clear" w:color="auto" w:fill="FFFFFF"/>
        <w:spacing w:before="390" w:after="390" w:line="594" w:lineRule="atLeast"/>
        <w:ind w:firstLine="482"/>
        <w:rPr>
          <w:rFonts w:ascii="Microsoft Yahei" w:eastAsia="宋体" w:hAnsi="Microsoft Yahei" w:cs="宋体"/>
          <w:color w:val="404040"/>
          <w:kern w:val="0"/>
          <w:sz w:val="30"/>
          <w:szCs w:val="30"/>
        </w:rPr>
      </w:pPr>
      <w:r w:rsidRPr="00DA458C">
        <w:rPr>
          <w:rFonts w:ascii="宋体" w:eastAsia="宋体" w:hAnsi="宋体" w:cs="宋体" w:hint="eastAsia"/>
          <w:b/>
          <w:bCs/>
          <w:color w:val="000000"/>
          <w:kern w:val="0"/>
          <w:sz w:val="30"/>
          <w:szCs w:val="30"/>
        </w:rPr>
        <w:t>（二）检验机构。</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全力协助各级安全监管部门对特种设备使用单位进行监督检查，为隐患排查和治理做好技术支撑。按照安全技术规范要求，及时对报检的特种设备实施检验，及时出具检验报告，确保检验质量。发现需要处理的缺陷，及时通知特种设备使用单位进行处理，并对处理结果进行检验确认。发现设备到期未检或存在严重隐患时，应及时报告所在地的监管部门。</w:t>
      </w:r>
    </w:p>
    <w:p w:rsidR="00DA458C" w:rsidRPr="00DA458C" w:rsidRDefault="00DA458C" w:rsidP="00DA458C">
      <w:pPr>
        <w:widowControl/>
        <w:shd w:val="clear" w:color="auto" w:fill="FFFFFF"/>
        <w:spacing w:before="390" w:after="390" w:line="594" w:lineRule="atLeast"/>
        <w:ind w:firstLine="482"/>
        <w:rPr>
          <w:rFonts w:ascii="Microsoft Yahei" w:eastAsia="宋体" w:hAnsi="Microsoft Yahei" w:cs="宋体"/>
          <w:color w:val="404040"/>
          <w:kern w:val="0"/>
          <w:sz w:val="30"/>
          <w:szCs w:val="30"/>
        </w:rPr>
      </w:pPr>
      <w:r w:rsidRPr="00DA458C">
        <w:rPr>
          <w:rFonts w:ascii="宋体" w:eastAsia="宋体" w:hAnsi="宋体" w:cs="宋体" w:hint="eastAsia"/>
          <w:b/>
          <w:bCs/>
          <w:color w:val="000000"/>
          <w:kern w:val="0"/>
          <w:sz w:val="30"/>
          <w:szCs w:val="30"/>
        </w:rPr>
        <w:t>（三）行业协会。</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各行业协会应加强行业自律，开展特种设备安全隐患排查和治理的宣传、技术咨询、人员培训等工作，督促会员单位进行特种设备安全隐患排查和治理，对会员单位在隐患排查和治理中出现的重大问题及时向相应级别的安全监管部门反馈。</w:t>
      </w:r>
    </w:p>
    <w:p w:rsidR="00DA458C" w:rsidRPr="00DA458C" w:rsidRDefault="00DA458C" w:rsidP="00DA458C">
      <w:pPr>
        <w:widowControl/>
        <w:shd w:val="clear" w:color="auto" w:fill="FFFFFF"/>
        <w:spacing w:before="390" w:after="390" w:line="594" w:lineRule="atLeast"/>
        <w:ind w:firstLine="482"/>
        <w:rPr>
          <w:rFonts w:ascii="Microsoft Yahei" w:eastAsia="宋体" w:hAnsi="Microsoft Yahei" w:cs="宋体"/>
          <w:color w:val="404040"/>
          <w:kern w:val="0"/>
          <w:sz w:val="30"/>
          <w:szCs w:val="30"/>
        </w:rPr>
      </w:pPr>
      <w:r w:rsidRPr="00DA458C">
        <w:rPr>
          <w:rFonts w:ascii="宋体" w:eastAsia="宋体" w:hAnsi="宋体" w:cs="宋体" w:hint="eastAsia"/>
          <w:b/>
          <w:bCs/>
          <w:color w:val="000000"/>
          <w:kern w:val="0"/>
          <w:sz w:val="30"/>
          <w:szCs w:val="30"/>
        </w:rPr>
        <w:t>（四）特种设备安全监督管理部门。</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质检总局负责组织协调全国特种设备安全隐患排查和治理工作，并开展督查。</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lastRenderedPageBreak/>
        <w:t>省级监管部门负责制定本行政区域特种设备安全隐患排查和治理方案，对市级、县级监管部门隐患排查和治理工作进行指导和检查。</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市级监管部门依据《特种设备现场安全监督检查规则》，制定监督检查计划，将纳入本通知“工作重点”的特种设备使用单位列为重点监督检查对象，对其他特种设备使用单位按照“双随机”原则确定监督抽查对象。市、县级监管部门按照监督检查计划，做好分工，依据《特种设备现场安全监督检查规则》，对特种设备使用单位分级组织实施监督检查，并对使用单位开展安全隐患排查和治理情况进行检查，督促其落实整改；对于拒不整改或整改不到位的，及时报告地方政府和上级监管部门。</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同时，按照“管行业必须管安全、管业务必须管安全、管生产经营必须管安全”的要求，各级监管部门应协调涉及特种设备安全的行业主管部门，共同开展特种设备安全隐患排查和治理。</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四、进度要求</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2017年2月开始至2017年12月结束，分三个阶段进行。</w:t>
      </w:r>
    </w:p>
    <w:p w:rsidR="00DA458C" w:rsidRPr="00DA458C" w:rsidRDefault="00DA458C" w:rsidP="00DA458C">
      <w:pPr>
        <w:widowControl/>
        <w:shd w:val="clear" w:color="auto" w:fill="FFFFFF"/>
        <w:spacing w:before="390" w:after="390" w:line="594" w:lineRule="atLeast"/>
        <w:ind w:firstLine="482"/>
        <w:jc w:val="left"/>
        <w:rPr>
          <w:rFonts w:ascii="Microsoft Yahei" w:eastAsia="宋体" w:hAnsi="Microsoft Yahei" w:cs="宋体"/>
          <w:color w:val="404040"/>
          <w:kern w:val="0"/>
          <w:sz w:val="30"/>
          <w:szCs w:val="30"/>
        </w:rPr>
      </w:pPr>
      <w:r w:rsidRPr="00DA458C">
        <w:rPr>
          <w:rFonts w:ascii="宋体" w:eastAsia="宋体" w:hAnsi="宋体" w:cs="宋体" w:hint="eastAsia"/>
          <w:b/>
          <w:bCs/>
          <w:color w:val="000000"/>
          <w:kern w:val="0"/>
          <w:sz w:val="30"/>
          <w:szCs w:val="30"/>
        </w:rPr>
        <w:t>（一）动员部署阶段（2017年2月至</w:t>
      </w:r>
      <w:r w:rsidRPr="00DA458C">
        <w:rPr>
          <w:rFonts w:ascii="宋体" w:eastAsia="宋体" w:hAnsi="宋体" w:cs="宋体" w:hint="eastAsia"/>
          <w:b/>
          <w:bCs/>
          <w:color w:val="404040"/>
          <w:kern w:val="0"/>
          <w:sz w:val="30"/>
          <w:szCs w:val="30"/>
        </w:rPr>
        <w:t>3月</w:t>
      </w:r>
      <w:r w:rsidRPr="00DA458C">
        <w:rPr>
          <w:rFonts w:ascii="宋体" w:eastAsia="宋体" w:hAnsi="宋体" w:cs="宋体" w:hint="eastAsia"/>
          <w:b/>
          <w:bCs/>
          <w:color w:val="000000"/>
          <w:kern w:val="0"/>
          <w:sz w:val="30"/>
          <w:szCs w:val="30"/>
        </w:rPr>
        <w:t>）。</w:t>
      </w:r>
      <w:r w:rsidRPr="00DA458C">
        <w:rPr>
          <w:rFonts w:ascii="宋体" w:eastAsia="宋体" w:hAnsi="宋体" w:cs="宋体" w:hint="eastAsia"/>
          <w:color w:val="000000"/>
          <w:kern w:val="0"/>
          <w:sz w:val="30"/>
          <w:szCs w:val="30"/>
        </w:rPr>
        <w:t>各级监管部门、检验机构和使用单位要明确职责，细化措施，制定计划；要认真开展动员部署，做好内部宣传，做到全员发动。各级监管机构要</w:t>
      </w:r>
      <w:r w:rsidRPr="00DA458C">
        <w:rPr>
          <w:rFonts w:ascii="宋体" w:eastAsia="宋体" w:hAnsi="宋体" w:cs="宋体" w:hint="eastAsia"/>
          <w:color w:val="000000"/>
          <w:kern w:val="0"/>
          <w:sz w:val="30"/>
          <w:szCs w:val="30"/>
        </w:rPr>
        <w:lastRenderedPageBreak/>
        <w:t>确保把特种设备安全隐患排查和治理的要求传达到相关使用单位。</w:t>
      </w:r>
    </w:p>
    <w:p w:rsidR="00DA458C" w:rsidRPr="00DA458C" w:rsidRDefault="00DA458C" w:rsidP="00DA458C">
      <w:pPr>
        <w:widowControl/>
        <w:shd w:val="clear" w:color="auto" w:fill="FFFFFF"/>
        <w:spacing w:before="390" w:after="390" w:line="594" w:lineRule="atLeast"/>
        <w:ind w:firstLine="482"/>
        <w:rPr>
          <w:rFonts w:ascii="Microsoft Yahei" w:eastAsia="宋体" w:hAnsi="Microsoft Yahei" w:cs="宋体"/>
          <w:color w:val="404040"/>
          <w:kern w:val="0"/>
          <w:sz w:val="30"/>
          <w:szCs w:val="30"/>
        </w:rPr>
      </w:pPr>
      <w:r w:rsidRPr="00DA458C">
        <w:rPr>
          <w:rFonts w:ascii="宋体" w:eastAsia="宋体" w:hAnsi="宋体" w:cs="宋体" w:hint="eastAsia"/>
          <w:b/>
          <w:bCs/>
          <w:color w:val="000000"/>
          <w:kern w:val="0"/>
          <w:sz w:val="30"/>
          <w:szCs w:val="30"/>
        </w:rPr>
        <w:t>（二）全面实施阶段（2017年3月至10月）。</w:t>
      </w:r>
      <w:r w:rsidRPr="00DA458C">
        <w:rPr>
          <w:rFonts w:ascii="宋体" w:eastAsia="宋体" w:hAnsi="宋体" w:cs="宋体" w:hint="eastAsia"/>
          <w:color w:val="000000"/>
          <w:kern w:val="0"/>
          <w:sz w:val="30"/>
          <w:szCs w:val="30"/>
        </w:rPr>
        <w:t>特种设备使用单位要结合实际，精心组织，认真开展全方位、全过程的自查自改，持续动态排查消除各类安全隐患，确保所使用设备的安全运行。各有关部门和单位要按照拟定的方案和计划开展监督检查、抽查、督查，及时研究解决工作中的问题，确保特种设备隐患得到有效治理。</w:t>
      </w:r>
    </w:p>
    <w:p w:rsidR="00DA458C" w:rsidRPr="00DA458C" w:rsidRDefault="00DA458C" w:rsidP="00DA458C">
      <w:pPr>
        <w:widowControl/>
        <w:shd w:val="clear" w:color="auto" w:fill="FFFFFF"/>
        <w:spacing w:before="390" w:after="390" w:line="594" w:lineRule="atLeast"/>
        <w:ind w:firstLine="482"/>
        <w:rPr>
          <w:rFonts w:ascii="Microsoft Yahei" w:eastAsia="宋体" w:hAnsi="Microsoft Yahei" w:cs="宋体"/>
          <w:color w:val="404040"/>
          <w:kern w:val="0"/>
          <w:sz w:val="30"/>
          <w:szCs w:val="30"/>
        </w:rPr>
      </w:pPr>
      <w:r w:rsidRPr="00DA458C">
        <w:rPr>
          <w:rFonts w:ascii="宋体" w:eastAsia="宋体" w:hAnsi="宋体" w:cs="宋体" w:hint="eastAsia"/>
          <w:b/>
          <w:bCs/>
          <w:color w:val="000000"/>
          <w:kern w:val="0"/>
          <w:sz w:val="30"/>
          <w:szCs w:val="30"/>
        </w:rPr>
        <w:t>（三）总结阶段（2017年11至12月）。</w:t>
      </w:r>
      <w:r w:rsidRPr="00DA458C">
        <w:rPr>
          <w:rFonts w:ascii="宋体" w:eastAsia="宋体" w:hAnsi="宋体" w:cs="宋体" w:hint="eastAsia"/>
          <w:color w:val="000000"/>
          <w:kern w:val="0"/>
          <w:sz w:val="30"/>
          <w:szCs w:val="30"/>
        </w:rPr>
        <w:t>各有关部门和企业要认真总结经验成果，做好工作收尾，形成总结报告。</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五、工作要求</w:t>
      </w:r>
    </w:p>
    <w:p w:rsidR="00DA458C" w:rsidRPr="00DA458C" w:rsidRDefault="00DA458C" w:rsidP="00DA458C">
      <w:pPr>
        <w:widowControl/>
        <w:shd w:val="clear" w:color="auto" w:fill="FFFFFF"/>
        <w:spacing w:before="390" w:after="390" w:line="594" w:lineRule="atLeast"/>
        <w:ind w:firstLine="482"/>
        <w:jc w:val="left"/>
        <w:rPr>
          <w:rFonts w:ascii="Microsoft Yahei" w:eastAsia="宋体" w:hAnsi="Microsoft Yahei" w:cs="宋体"/>
          <w:color w:val="404040"/>
          <w:kern w:val="0"/>
          <w:sz w:val="30"/>
          <w:szCs w:val="30"/>
        </w:rPr>
      </w:pPr>
      <w:r w:rsidRPr="00DA458C">
        <w:rPr>
          <w:rFonts w:ascii="宋体" w:eastAsia="宋体" w:hAnsi="宋体" w:cs="宋体" w:hint="eastAsia"/>
          <w:b/>
          <w:bCs/>
          <w:color w:val="000000"/>
          <w:kern w:val="0"/>
          <w:sz w:val="30"/>
          <w:szCs w:val="30"/>
        </w:rPr>
        <w:t>（一）加强组织领导。</w:t>
      </w:r>
    </w:p>
    <w:p w:rsidR="00DA458C" w:rsidRPr="00DA458C" w:rsidRDefault="00DA458C" w:rsidP="00DA458C">
      <w:pPr>
        <w:widowControl/>
        <w:shd w:val="clear" w:color="auto" w:fill="FFFFFF"/>
        <w:spacing w:before="390" w:after="390" w:line="594" w:lineRule="atLeast"/>
        <w:ind w:firstLine="480"/>
        <w:jc w:val="left"/>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各级监管部门要成立组织机构，落实必要的人力、物力和财力保障。要加强与安全生产监管部门、行业主管部门的协调联动，充分发挥检验机构、行业协会等特种设备安全相关方作用，要落实企业主体责任，突出重点，攻克难点，务必取得实效。</w:t>
      </w:r>
    </w:p>
    <w:p w:rsidR="00DA458C" w:rsidRPr="00DA458C" w:rsidRDefault="00DA458C" w:rsidP="00DA458C">
      <w:pPr>
        <w:widowControl/>
        <w:shd w:val="clear" w:color="auto" w:fill="FFFFFF"/>
        <w:spacing w:before="390" w:after="390" w:line="594" w:lineRule="atLeast"/>
        <w:ind w:firstLine="482"/>
        <w:jc w:val="left"/>
        <w:rPr>
          <w:rFonts w:ascii="Microsoft Yahei" w:eastAsia="宋体" w:hAnsi="Microsoft Yahei" w:cs="宋体"/>
          <w:color w:val="404040"/>
          <w:kern w:val="0"/>
          <w:sz w:val="30"/>
          <w:szCs w:val="30"/>
        </w:rPr>
      </w:pPr>
      <w:r w:rsidRPr="00DA458C">
        <w:rPr>
          <w:rFonts w:ascii="宋体" w:eastAsia="宋体" w:hAnsi="宋体" w:cs="宋体" w:hint="eastAsia"/>
          <w:b/>
          <w:bCs/>
          <w:color w:val="000000"/>
          <w:kern w:val="0"/>
          <w:sz w:val="30"/>
          <w:szCs w:val="30"/>
        </w:rPr>
        <w:t>（二）开展广泛宣传。</w:t>
      </w:r>
    </w:p>
    <w:p w:rsidR="00DA458C" w:rsidRPr="00DA458C" w:rsidRDefault="00DA458C" w:rsidP="00DA458C">
      <w:pPr>
        <w:widowControl/>
        <w:shd w:val="clear" w:color="auto" w:fill="FFFFFF"/>
        <w:spacing w:before="390" w:after="390" w:line="594" w:lineRule="atLeast"/>
        <w:ind w:firstLine="480"/>
        <w:jc w:val="left"/>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lastRenderedPageBreak/>
        <w:t>各级监管部门要充分利用电视、电台、报纸、网络等各种媒体，采取发放宣传资料、座谈等方式，广泛宣传特种设备隐患排查和治理工作，提高社会公众对隐患排查和治理的认知度、参与度，充分发挥媒体的舆论监督作用，营造良好的社会氛围。</w:t>
      </w:r>
    </w:p>
    <w:p w:rsidR="00DA458C" w:rsidRPr="00DA458C" w:rsidRDefault="00DA458C" w:rsidP="00DA458C">
      <w:pPr>
        <w:widowControl/>
        <w:shd w:val="clear" w:color="auto" w:fill="FFFFFF"/>
        <w:spacing w:before="390" w:after="390" w:line="594" w:lineRule="atLeast"/>
        <w:ind w:firstLine="482"/>
        <w:jc w:val="left"/>
        <w:rPr>
          <w:rFonts w:ascii="Microsoft Yahei" w:eastAsia="宋体" w:hAnsi="Microsoft Yahei" w:cs="宋体"/>
          <w:color w:val="404040"/>
          <w:kern w:val="0"/>
          <w:sz w:val="30"/>
          <w:szCs w:val="30"/>
        </w:rPr>
      </w:pPr>
      <w:r w:rsidRPr="00DA458C">
        <w:rPr>
          <w:rFonts w:ascii="宋体" w:eastAsia="宋体" w:hAnsi="宋体" w:cs="宋体" w:hint="eastAsia"/>
          <w:b/>
          <w:bCs/>
          <w:color w:val="000000"/>
          <w:kern w:val="0"/>
          <w:sz w:val="30"/>
          <w:szCs w:val="30"/>
        </w:rPr>
        <w:t>（三）加强信息统计。</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各相关单位要对隐患排查和治理情况做好信息统计（表格见附件），每季度末报送。其中，特种设备使用单位要向所在地的市、县级监管部门和行业主管部门报送自查自改情况，各级监管部门要及时向上一级监管部门报送辖区内的特种设备使用单位自查自改和本部门对使用单位的监督检查、抽查情况。</w:t>
      </w:r>
    </w:p>
    <w:p w:rsidR="00DA458C" w:rsidRPr="00DA458C" w:rsidRDefault="00DA458C" w:rsidP="00DA458C">
      <w:pPr>
        <w:widowControl/>
        <w:shd w:val="clear" w:color="auto" w:fill="FFFFFF"/>
        <w:spacing w:before="390" w:after="390" w:line="594" w:lineRule="atLeast"/>
        <w:ind w:firstLine="482"/>
        <w:jc w:val="left"/>
        <w:rPr>
          <w:rFonts w:ascii="Microsoft Yahei" w:eastAsia="宋体" w:hAnsi="Microsoft Yahei" w:cs="宋体"/>
          <w:color w:val="404040"/>
          <w:kern w:val="0"/>
          <w:sz w:val="30"/>
          <w:szCs w:val="30"/>
        </w:rPr>
      </w:pPr>
      <w:r w:rsidRPr="00DA458C">
        <w:rPr>
          <w:rFonts w:ascii="宋体" w:eastAsia="宋体" w:hAnsi="宋体" w:cs="宋体" w:hint="eastAsia"/>
          <w:b/>
          <w:bCs/>
          <w:color w:val="000000"/>
          <w:kern w:val="0"/>
          <w:sz w:val="30"/>
          <w:szCs w:val="30"/>
        </w:rPr>
        <w:t>（四）构建长效机制。</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各级监管部门要根据实际情况，多渠道进行安全隐患信息采集、</w:t>
      </w:r>
      <w:proofErr w:type="gramStart"/>
      <w:r w:rsidRPr="00DA458C">
        <w:rPr>
          <w:rFonts w:ascii="宋体" w:eastAsia="宋体" w:hAnsi="宋体" w:cs="宋体" w:hint="eastAsia"/>
          <w:color w:val="000000"/>
          <w:kern w:val="0"/>
          <w:sz w:val="30"/>
          <w:szCs w:val="30"/>
        </w:rPr>
        <w:t>研</w:t>
      </w:r>
      <w:proofErr w:type="gramEnd"/>
      <w:r w:rsidRPr="00DA458C">
        <w:rPr>
          <w:rFonts w:ascii="宋体" w:eastAsia="宋体" w:hAnsi="宋体" w:cs="宋体" w:hint="eastAsia"/>
          <w:color w:val="000000"/>
          <w:kern w:val="0"/>
          <w:sz w:val="30"/>
          <w:szCs w:val="30"/>
        </w:rPr>
        <w:t>判，完善风险防控机制，做好风险监测、预警和处置，对具有系统性的风险和隐患要及时上报上级部门和当地政府，并提出解决措施的建议。要注意归纳总结检查中形成的好经验好做法，研究形成长效机制。</w:t>
      </w:r>
    </w:p>
    <w:p w:rsidR="00DA458C" w:rsidRPr="00DA458C" w:rsidRDefault="00DA458C" w:rsidP="00DA458C">
      <w:pPr>
        <w:widowControl/>
        <w:shd w:val="clear" w:color="auto" w:fill="FFFFFF"/>
        <w:spacing w:before="390" w:after="390" w:line="594" w:lineRule="atLeast"/>
        <w:ind w:firstLine="480"/>
        <w:jc w:val="left"/>
        <w:rPr>
          <w:rFonts w:ascii="Microsoft Yahei" w:eastAsia="宋体" w:hAnsi="Microsoft Yahei" w:cs="宋体"/>
          <w:color w:val="404040"/>
          <w:kern w:val="0"/>
          <w:sz w:val="30"/>
          <w:szCs w:val="30"/>
        </w:rPr>
      </w:pPr>
      <w:r w:rsidRPr="00DA458C">
        <w:rPr>
          <w:rFonts w:ascii="宋体" w:eastAsia="宋体" w:hAnsi="宋体" w:cs="宋体" w:hint="eastAsia"/>
          <w:color w:val="000000"/>
          <w:kern w:val="0"/>
          <w:sz w:val="30"/>
          <w:szCs w:val="30"/>
        </w:rPr>
        <w:t> </w:t>
      </w:r>
    </w:p>
    <w:p w:rsidR="00DA458C" w:rsidRPr="00DA458C" w:rsidRDefault="00DA458C" w:rsidP="00DA458C">
      <w:pPr>
        <w:widowControl/>
        <w:shd w:val="clear" w:color="auto" w:fill="FFFFFF"/>
        <w:spacing w:before="390" w:after="390" w:line="594" w:lineRule="atLeast"/>
        <w:ind w:firstLine="480"/>
        <w:rPr>
          <w:rFonts w:ascii="Microsoft Yahei" w:eastAsia="宋体" w:hAnsi="Microsoft Yahei" w:cs="宋体"/>
          <w:color w:val="404040"/>
          <w:kern w:val="0"/>
          <w:sz w:val="30"/>
          <w:szCs w:val="30"/>
        </w:rPr>
      </w:pPr>
      <w:r w:rsidRPr="00DA458C">
        <w:rPr>
          <w:rFonts w:ascii="宋体" w:eastAsia="宋体" w:hAnsi="宋体" w:cs="宋体" w:hint="eastAsia"/>
          <w:color w:val="404040"/>
          <w:kern w:val="0"/>
          <w:sz w:val="30"/>
          <w:szCs w:val="30"/>
        </w:rPr>
        <w:t>附件：</w:t>
      </w:r>
      <w:r w:rsidRPr="00DA458C">
        <w:rPr>
          <w:rFonts w:ascii="宋体" w:eastAsia="宋体" w:hAnsi="宋体" w:cs="宋体" w:hint="eastAsia"/>
          <w:color w:val="000000"/>
          <w:kern w:val="0"/>
          <w:sz w:val="30"/>
          <w:szCs w:val="30"/>
        </w:rPr>
        <w:t>特种设备安全隐患排查和治理信息统计表</w:t>
      </w:r>
    </w:p>
    <w:p w:rsidR="00DA458C" w:rsidRPr="00DA458C" w:rsidRDefault="00DA458C" w:rsidP="00DA458C">
      <w:pPr>
        <w:widowControl/>
        <w:shd w:val="clear" w:color="auto" w:fill="FFFFFF"/>
        <w:spacing w:before="390" w:after="390" w:line="594" w:lineRule="atLeast"/>
        <w:ind w:right="1501" w:firstLine="480"/>
        <w:jc w:val="right"/>
        <w:rPr>
          <w:rFonts w:ascii="Microsoft Yahei" w:eastAsia="宋体" w:hAnsi="Microsoft Yahei" w:cs="宋体"/>
          <w:color w:val="404040"/>
          <w:kern w:val="0"/>
          <w:sz w:val="30"/>
          <w:szCs w:val="30"/>
        </w:rPr>
      </w:pPr>
      <w:r w:rsidRPr="00DA458C">
        <w:rPr>
          <w:rFonts w:ascii="宋体" w:eastAsia="宋体" w:hAnsi="宋体" w:cs="宋体" w:hint="eastAsia"/>
          <w:color w:val="404040"/>
          <w:kern w:val="0"/>
          <w:sz w:val="30"/>
          <w:szCs w:val="30"/>
        </w:rPr>
        <w:lastRenderedPageBreak/>
        <w:t>质检总局办公厅</w:t>
      </w:r>
    </w:p>
    <w:p w:rsidR="00DA458C" w:rsidRPr="00DA458C" w:rsidRDefault="00DA458C" w:rsidP="00DA458C">
      <w:pPr>
        <w:widowControl/>
        <w:shd w:val="clear" w:color="auto" w:fill="FFFFFF"/>
        <w:spacing w:before="390" w:after="390" w:line="594" w:lineRule="atLeast"/>
        <w:ind w:right="1354" w:firstLine="480"/>
        <w:jc w:val="right"/>
        <w:rPr>
          <w:rFonts w:ascii="Microsoft Yahei" w:eastAsia="宋体" w:hAnsi="Microsoft Yahei" w:cs="宋体"/>
          <w:color w:val="404040"/>
          <w:kern w:val="0"/>
          <w:sz w:val="30"/>
          <w:szCs w:val="30"/>
        </w:rPr>
      </w:pPr>
      <w:r w:rsidRPr="00DA458C">
        <w:rPr>
          <w:rFonts w:ascii="宋体" w:eastAsia="宋体" w:hAnsi="宋体" w:cs="宋体" w:hint="eastAsia"/>
          <w:color w:val="404040"/>
          <w:kern w:val="0"/>
          <w:sz w:val="30"/>
          <w:szCs w:val="30"/>
        </w:rPr>
        <w:t>2017年2月15日</w:t>
      </w:r>
    </w:p>
    <w:p w:rsidR="00DA458C" w:rsidRDefault="00DA458C">
      <w:pPr>
        <w:rPr>
          <w:rFonts w:hint="eastAsia"/>
          <w:sz w:val="30"/>
          <w:szCs w:val="30"/>
        </w:rPr>
      </w:pPr>
      <w:r w:rsidRPr="00DA458C">
        <w:rPr>
          <w:rFonts w:hint="eastAsia"/>
          <w:sz w:val="30"/>
          <w:szCs w:val="30"/>
        </w:rPr>
        <w:t xml:space="preserve">   </w:t>
      </w:r>
      <w:r w:rsidRPr="00DA458C">
        <w:rPr>
          <w:rFonts w:hint="eastAsia"/>
          <w:sz w:val="30"/>
          <w:szCs w:val="30"/>
        </w:rPr>
        <w:t>（此件公开发布）</w:t>
      </w:r>
    </w:p>
    <w:p w:rsidR="00860E85" w:rsidRDefault="00860E85">
      <w:pPr>
        <w:rPr>
          <w:rFonts w:hint="eastAsia"/>
          <w:sz w:val="30"/>
          <w:szCs w:val="30"/>
        </w:rPr>
      </w:pPr>
      <w:bookmarkStart w:id="0" w:name="_GoBack"/>
      <w:bookmarkEnd w:id="0"/>
    </w:p>
    <w:p w:rsidR="00860E85" w:rsidRPr="00860E85" w:rsidRDefault="00860E85" w:rsidP="00860E85">
      <w:pPr>
        <w:widowControl/>
        <w:shd w:val="clear" w:color="auto" w:fill="FFFFFF"/>
        <w:spacing w:line="480" w:lineRule="atLeast"/>
        <w:ind w:firstLine="510"/>
        <w:jc w:val="left"/>
        <w:rPr>
          <w:rFonts w:ascii="simsun" w:eastAsia="宋体" w:hAnsi="simsun" w:cs="宋体"/>
          <w:color w:val="3E3E3E"/>
          <w:kern w:val="0"/>
          <w:sz w:val="24"/>
          <w:szCs w:val="24"/>
        </w:rPr>
      </w:pPr>
      <w:r w:rsidRPr="00860E85">
        <w:rPr>
          <w:rFonts w:ascii="simsun" w:eastAsia="宋体" w:hAnsi="simsun" w:cs="宋体"/>
          <w:b/>
          <w:bCs/>
          <w:color w:val="3E3E3E"/>
          <w:kern w:val="0"/>
          <w:sz w:val="20"/>
          <w:szCs w:val="20"/>
        </w:rPr>
        <w:t>表</w:t>
      </w:r>
      <w:r w:rsidRPr="00860E85">
        <w:rPr>
          <w:rFonts w:ascii="simsun" w:eastAsia="宋体" w:hAnsi="simsun" w:cs="宋体"/>
          <w:b/>
          <w:bCs/>
          <w:color w:val="3E3E3E"/>
          <w:kern w:val="0"/>
          <w:sz w:val="20"/>
          <w:szCs w:val="20"/>
        </w:rPr>
        <w:t>1</w:t>
      </w:r>
      <w:r w:rsidRPr="00860E85">
        <w:rPr>
          <w:rFonts w:ascii="simsun" w:eastAsia="宋体" w:hAnsi="simsun" w:cs="宋体"/>
          <w:b/>
          <w:bCs/>
          <w:color w:val="3E3E3E"/>
          <w:kern w:val="0"/>
          <w:sz w:val="20"/>
          <w:szCs w:val="20"/>
        </w:rPr>
        <w:t>特种设备使用单位安全隐患自查自改信息统计表</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2"/>
        <w:gridCol w:w="613"/>
        <w:gridCol w:w="448"/>
        <w:gridCol w:w="448"/>
        <w:gridCol w:w="3926"/>
        <w:gridCol w:w="2599"/>
      </w:tblGrid>
      <w:tr w:rsidR="00860E85" w:rsidRPr="00860E85" w:rsidTr="00860E85">
        <w:trPr>
          <w:tblCellSpacing w:w="0" w:type="dxa"/>
        </w:trPr>
        <w:tc>
          <w:tcPr>
            <w:tcW w:w="5917"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监管部门名称：</w:t>
            </w:r>
          </w:p>
        </w:tc>
        <w:tc>
          <w:tcPr>
            <w:tcW w:w="2599" w:type="dxa"/>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日期：</w:t>
            </w:r>
          </w:p>
        </w:tc>
      </w:tr>
      <w:tr w:rsidR="00860E85" w:rsidRPr="00860E85" w:rsidTr="00860E85">
        <w:trPr>
          <w:tblCellSpacing w:w="0" w:type="dxa"/>
        </w:trPr>
        <w:tc>
          <w:tcPr>
            <w:tcW w:w="1991" w:type="dxa"/>
            <w:gridSpan w:val="4"/>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信息内容</w:t>
            </w:r>
          </w:p>
        </w:tc>
        <w:tc>
          <w:tcPr>
            <w:tcW w:w="3926"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数量</w:t>
            </w:r>
          </w:p>
        </w:tc>
        <w:tc>
          <w:tcPr>
            <w:tcW w:w="2599"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说明</w:t>
            </w:r>
          </w:p>
        </w:tc>
      </w:tr>
      <w:tr w:rsidR="00860E85" w:rsidRPr="00860E85" w:rsidTr="00860E85">
        <w:trPr>
          <w:tblCellSpacing w:w="0" w:type="dxa"/>
        </w:trPr>
        <w:tc>
          <w:tcPr>
            <w:tcW w:w="1991" w:type="dxa"/>
            <w:gridSpan w:val="4"/>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left"/>
              <w:rPr>
                <w:rFonts w:ascii="simsun" w:eastAsia="宋体" w:hAnsi="simsun" w:cs="宋体"/>
                <w:color w:val="000000"/>
                <w:kern w:val="0"/>
                <w:szCs w:val="21"/>
              </w:rPr>
            </w:pPr>
            <w:r w:rsidRPr="00860E85">
              <w:rPr>
                <w:rFonts w:ascii="simsun" w:eastAsia="宋体" w:hAnsi="simsun" w:cs="宋体"/>
                <w:b/>
                <w:bCs/>
                <w:color w:val="000000"/>
                <w:kern w:val="0"/>
                <w:sz w:val="20"/>
                <w:szCs w:val="20"/>
              </w:rPr>
              <w:t>开展隐患自查自改使用单位</w:t>
            </w:r>
          </w:p>
        </w:tc>
        <w:tc>
          <w:tcPr>
            <w:tcW w:w="3926"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right"/>
              <w:rPr>
                <w:rFonts w:ascii="simsun" w:eastAsia="宋体" w:hAnsi="simsun" w:cs="宋体"/>
                <w:color w:val="000000"/>
                <w:kern w:val="0"/>
                <w:szCs w:val="21"/>
              </w:rPr>
            </w:pPr>
            <w:r w:rsidRPr="00860E85">
              <w:rPr>
                <w:rFonts w:ascii="simsun" w:eastAsia="宋体" w:hAnsi="simsun" w:cs="宋体"/>
                <w:color w:val="000000"/>
                <w:kern w:val="0"/>
                <w:sz w:val="20"/>
                <w:szCs w:val="20"/>
              </w:rPr>
              <w:t>（家）</w:t>
            </w:r>
          </w:p>
        </w:tc>
        <w:tc>
          <w:tcPr>
            <w:tcW w:w="2599"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blCellSpacing w:w="0" w:type="dxa"/>
        </w:trPr>
        <w:tc>
          <w:tcPr>
            <w:tcW w:w="1991" w:type="dxa"/>
            <w:gridSpan w:val="4"/>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left"/>
              <w:rPr>
                <w:rFonts w:ascii="simsun" w:eastAsia="宋体" w:hAnsi="simsun" w:cs="宋体"/>
                <w:color w:val="000000"/>
                <w:kern w:val="0"/>
                <w:szCs w:val="21"/>
              </w:rPr>
            </w:pPr>
            <w:r w:rsidRPr="00860E85">
              <w:rPr>
                <w:rFonts w:ascii="simsun" w:eastAsia="宋体" w:hAnsi="simsun" w:cs="宋体"/>
                <w:b/>
                <w:bCs/>
                <w:color w:val="000000"/>
                <w:kern w:val="0"/>
                <w:sz w:val="20"/>
                <w:szCs w:val="20"/>
              </w:rPr>
              <w:t>发现安全隐患</w:t>
            </w:r>
          </w:p>
        </w:tc>
        <w:tc>
          <w:tcPr>
            <w:tcW w:w="3926"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right"/>
              <w:rPr>
                <w:rFonts w:ascii="simsun" w:eastAsia="宋体" w:hAnsi="simsun" w:cs="宋体"/>
                <w:color w:val="000000"/>
                <w:kern w:val="0"/>
                <w:szCs w:val="21"/>
              </w:rPr>
            </w:pPr>
            <w:r w:rsidRPr="00860E85">
              <w:rPr>
                <w:rFonts w:ascii="simsun" w:eastAsia="宋体" w:hAnsi="simsun" w:cs="宋体"/>
                <w:color w:val="000000"/>
                <w:kern w:val="0"/>
                <w:sz w:val="20"/>
                <w:szCs w:val="20"/>
              </w:rPr>
              <w:t>（起）</w:t>
            </w:r>
          </w:p>
        </w:tc>
        <w:tc>
          <w:tcPr>
            <w:tcW w:w="2599"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blCellSpacing w:w="0" w:type="dxa"/>
        </w:trPr>
        <w:tc>
          <w:tcPr>
            <w:tcW w:w="1991" w:type="dxa"/>
            <w:gridSpan w:val="4"/>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left"/>
              <w:rPr>
                <w:rFonts w:ascii="simsun" w:eastAsia="宋体" w:hAnsi="simsun" w:cs="宋体"/>
                <w:color w:val="000000"/>
                <w:kern w:val="0"/>
                <w:szCs w:val="21"/>
              </w:rPr>
            </w:pPr>
            <w:r w:rsidRPr="00860E85">
              <w:rPr>
                <w:rFonts w:ascii="simsun" w:eastAsia="宋体" w:hAnsi="simsun" w:cs="宋体"/>
                <w:b/>
                <w:bCs/>
                <w:color w:val="000000"/>
                <w:kern w:val="0"/>
                <w:sz w:val="20"/>
                <w:szCs w:val="20"/>
              </w:rPr>
              <w:t>完成隐患治理</w:t>
            </w:r>
          </w:p>
        </w:tc>
        <w:tc>
          <w:tcPr>
            <w:tcW w:w="3926"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right"/>
              <w:rPr>
                <w:rFonts w:ascii="simsun" w:eastAsia="宋体" w:hAnsi="simsun" w:cs="宋体"/>
                <w:color w:val="000000"/>
                <w:kern w:val="0"/>
                <w:szCs w:val="21"/>
              </w:rPr>
            </w:pPr>
            <w:r w:rsidRPr="00860E85">
              <w:rPr>
                <w:rFonts w:ascii="simsun" w:eastAsia="宋体" w:hAnsi="simsun" w:cs="宋体"/>
                <w:color w:val="000000"/>
                <w:kern w:val="0"/>
                <w:sz w:val="20"/>
                <w:szCs w:val="20"/>
              </w:rPr>
              <w:t>（起）</w:t>
            </w:r>
          </w:p>
        </w:tc>
        <w:tc>
          <w:tcPr>
            <w:tcW w:w="2599"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blCellSpacing w:w="0" w:type="dxa"/>
        </w:trPr>
        <w:tc>
          <w:tcPr>
            <w:tcW w:w="1991" w:type="dxa"/>
            <w:gridSpan w:val="4"/>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left"/>
              <w:rPr>
                <w:rFonts w:ascii="simsun" w:eastAsia="宋体" w:hAnsi="simsun" w:cs="宋体"/>
                <w:color w:val="000000"/>
                <w:kern w:val="0"/>
                <w:szCs w:val="21"/>
              </w:rPr>
            </w:pPr>
            <w:r w:rsidRPr="00860E85">
              <w:rPr>
                <w:rFonts w:ascii="simsun" w:eastAsia="宋体" w:hAnsi="simsun" w:cs="宋体"/>
                <w:b/>
                <w:bCs/>
                <w:color w:val="000000"/>
                <w:kern w:val="0"/>
                <w:sz w:val="20"/>
                <w:szCs w:val="20"/>
              </w:rPr>
              <w:t>待整改隐患</w:t>
            </w:r>
          </w:p>
        </w:tc>
        <w:tc>
          <w:tcPr>
            <w:tcW w:w="3926"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right"/>
              <w:rPr>
                <w:rFonts w:ascii="simsun" w:eastAsia="宋体" w:hAnsi="simsun" w:cs="宋体"/>
                <w:color w:val="000000"/>
                <w:kern w:val="0"/>
                <w:szCs w:val="21"/>
              </w:rPr>
            </w:pPr>
            <w:r w:rsidRPr="00860E85">
              <w:rPr>
                <w:rFonts w:ascii="simsun" w:eastAsia="宋体" w:hAnsi="simsun" w:cs="宋体"/>
                <w:color w:val="000000"/>
                <w:kern w:val="0"/>
                <w:sz w:val="20"/>
                <w:szCs w:val="20"/>
              </w:rPr>
              <w:t>（起）</w:t>
            </w:r>
          </w:p>
        </w:tc>
        <w:tc>
          <w:tcPr>
            <w:tcW w:w="2599"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rHeight w:val="2130"/>
          <w:tblCellSpacing w:w="0" w:type="dxa"/>
        </w:trPr>
        <w:tc>
          <w:tcPr>
            <w:tcW w:w="8516" w:type="dxa"/>
            <w:gridSpan w:val="6"/>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其他情况补充说明：</w:t>
            </w:r>
          </w:p>
          <w:p w:rsidR="00860E85" w:rsidRPr="00860E85" w:rsidRDefault="00860E85" w:rsidP="00860E85">
            <w:pPr>
              <w:widowControl/>
              <w:wordWrap w:val="0"/>
              <w:spacing w:line="480"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 </w:t>
            </w:r>
          </w:p>
        </w:tc>
      </w:tr>
      <w:tr w:rsidR="00860E85" w:rsidRPr="00860E85" w:rsidTr="00860E85">
        <w:trPr>
          <w:tblCellSpacing w:w="0" w:type="dxa"/>
        </w:trPr>
        <w:tc>
          <w:tcPr>
            <w:tcW w:w="8516" w:type="dxa"/>
            <w:gridSpan w:val="6"/>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待整改隐患情况统计（可加附页）</w:t>
            </w:r>
          </w:p>
        </w:tc>
      </w:tr>
      <w:tr w:rsidR="00860E85" w:rsidRPr="00860E85" w:rsidTr="00860E85">
        <w:trPr>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序号</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隐患描述</w:t>
            </w:r>
          </w:p>
        </w:tc>
        <w:tc>
          <w:tcPr>
            <w:tcW w:w="0" w:type="auto"/>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使用单位名称</w:t>
            </w:r>
          </w:p>
        </w:tc>
        <w:tc>
          <w:tcPr>
            <w:tcW w:w="6525"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采取的工作措施</w:t>
            </w:r>
          </w:p>
        </w:tc>
      </w:tr>
      <w:tr w:rsidR="00860E85" w:rsidRPr="00860E85" w:rsidTr="00860E85">
        <w:trPr>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1</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0" w:type="auto"/>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6525"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2</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0" w:type="auto"/>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6525"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3</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0" w:type="auto"/>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6525"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4</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0" w:type="auto"/>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6525"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5</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0" w:type="auto"/>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6525"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80"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6</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0" w:type="auto"/>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6525"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blCellSpacing w:w="0" w:type="dxa"/>
        </w:trPr>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860E85" w:rsidRPr="00860E85" w:rsidRDefault="00860E85" w:rsidP="00860E85">
            <w:pPr>
              <w:widowControl/>
              <w:wordWrap w:val="0"/>
              <w:spacing w:line="420" w:lineRule="atLeast"/>
              <w:jc w:val="left"/>
              <w:rPr>
                <w:rFonts w:ascii="simsun" w:eastAsia="宋体" w:hAnsi="simsun" w:cs="宋体"/>
                <w:color w:val="000000"/>
                <w:kern w:val="0"/>
                <w:sz w:val="1"/>
                <w:szCs w:val="21"/>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860E85" w:rsidRPr="00860E85" w:rsidRDefault="00860E85" w:rsidP="00860E85">
            <w:pPr>
              <w:widowControl/>
              <w:wordWrap w:val="0"/>
              <w:spacing w:line="420" w:lineRule="atLeast"/>
              <w:jc w:val="left"/>
              <w:rPr>
                <w:rFonts w:ascii="simsun" w:eastAsia="宋体" w:hAnsi="simsun" w:cs="宋体"/>
                <w:color w:val="000000"/>
                <w:kern w:val="0"/>
                <w:sz w:val="1"/>
                <w:szCs w:val="21"/>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860E85" w:rsidRPr="00860E85" w:rsidRDefault="00860E85" w:rsidP="00860E85">
            <w:pPr>
              <w:widowControl/>
              <w:wordWrap w:val="0"/>
              <w:spacing w:line="420" w:lineRule="atLeast"/>
              <w:jc w:val="left"/>
              <w:rPr>
                <w:rFonts w:ascii="simsun" w:eastAsia="宋体" w:hAnsi="simsun" w:cs="宋体"/>
                <w:color w:val="000000"/>
                <w:kern w:val="0"/>
                <w:sz w:val="1"/>
                <w:szCs w:val="21"/>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860E85" w:rsidRPr="00860E85" w:rsidRDefault="00860E85" w:rsidP="00860E85">
            <w:pPr>
              <w:widowControl/>
              <w:wordWrap w:val="0"/>
              <w:spacing w:line="420" w:lineRule="atLeast"/>
              <w:jc w:val="left"/>
              <w:rPr>
                <w:rFonts w:ascii="simsun" w:eastAsia="宋体" w:hAnsi="simsun" w:cs="宋体"/>
                <w:color w:val="000000"/>
                <w:kern w:val="0"/>
                <w:sz w:val="1"/>
                <w:szCs w:val="21"/>
              </w:rPr>
            </w:pPr>
          </w:p>
        </w:tc>
        <w:tc>
          <w:tcPr>
            <w:tcW w:w="3926" w:type="dxa"/>
            <w:tcBorders>
              <w:top w:val="nil"/>
              <w:left w:val="nil"/>
              <w:bottom w:val="nil"/>
              <w:right w:val="nil"/>
            </w:tcBorders>
            <w:shd w:val="clear" w:color="auto" w:fill="FFFFFF"/>
            <w:tcMar>
              <w:top w:w="75" w:type="dxa"/>
              <w:left w:w="150" w:type="dxa"/>
              <w:bottom w:w="75" w:type="dxa"/>
              <w:right w:w="150" w:type="dxa"/>
            </w:tcMar>
            <w:vAlign w:val="center"/>
            <w:hideMark/>
          </w:tcPr>
          <w:p w:rsidR="00860E85" w:rsidRPr="00860E85" w:rsidRDefault="00860E85" w:rsidP="00860E85">
            <w:pPr>
              <w:widowControl/>
              <w:wordWrap w:val="0"/>
              <w:spacing w:line="420" w:lineRule="atLeast"/>
              <w:jc w:val="left"/>
              <w:rPr>
                <w:rFonts w:ascii="simsun" w:eastAsia="宋体" w:hAnsi="simsun" w:cs="宋体"/>
                <w:color w:val="000000"/>
                <w:kern w:val="0"/>
                <w:sz w:val="1"/>
                <w:szCs w:val="21"/>
              </w:rPr>
            </w:pPr>
          </w:p>
        </w:tc>
        <w:tc>
          <w:tcPr>
            <w:tcW w:w="2599" w:type="dxa"/>
            <w:tcBorders>
              <w:top w:val="nil"/>
              <w:left w:val="nil"/>
              <w:bottom w:val="nil"/>
              <w:right w:val="nil"/>
            </w:tcBorders>
            <w:shd w:val="clear" w:color="auto" w:fill="FFFFFF"/>
            <w:tcMar>
              <w:top w:w="75" w:type="dxa"/>
              <w:left w:w="150" w:type="dxa"/>
              <w:bottom w:w="75" w:type="dxa"/>
              <w:right w:w="150" w:type="dxa"/>
            </w:tcMar>
            <w:vAlign w:val="center"/>
            <w:hideMark/>
          </w:tcPr>
          <w:p w:rsidR="00860E85" w:rsidRPr="00860E85" w:rsidRDefault="00860E85" w:rsidP="00860E85">
            <w:pPr>
              <w:widowControl/>
              <w:wordWrap w:val="0"/>
              <w:spacing w:line="420" w:lineRule="atLeast"/>
              <w:jc w:val="left"/>
              <w:rPr>
                <w:rFonts w:ascii="simsun" w:eastAsia="宋体" w:hAnsi="simsun" w:cs="宋体"/>
                <w:color w:val="000000"/>
                <w:kern w:val="0"/>
                <w:sz w:val="1"/>
                <w:szCs w:val="21"/>
              </w:rPr>
            </w:pPr>
          </w:p>
        </w:tc>
      </w:tr>
    </w:tbl>
    <w:p w:rsidR="00860E85" w:rsidRPr="00860E85" w:rsidRDefault="00860E85" w:rsidP="00860E85">
      <w:pPr>
        <w:widowControl/>
        <w:shd w:val="clear" w:color="auto" w:fill="FFFFFF"/>
        <w:spacing w:line="480" w:lineRule="atLeast"/>
        <w:jc w:val="center"/>
        <w:rPr>
          <w:rFonts w:ascii="simsun" w:eastAsia="宋体" w:hAnsi="simsun" w:cs="宋体"/>
          <w:color w:val="3E3E3E"/>
          <w:kern w:val="0"/>
          <w:sz w:val="24"/>
          <w:szCs w:val="24"/>
        </w:rPr>
      </w:pPr>
      <w:r w:rsidRPr="00860E85">
        <w:rPr>
          <w:rFonts w:ascii="simsun" w:eastAsia="宋体" w:hAnsi="simsun" w:cs="宋体"/>
          <w:b/>
          <w:bCs/>
          <w:color w:val="3E3E3E"/>
          <w:kern w:val="0"/>
          <w:sz w:val="20"/>
          <w:szCs w:val="20"/>
        </w:rPr>
        <w:lastRenderedPageBreak/>
        <w:t> </w:t>
      </w:r>
    </w:p>
    <w:p w:rsidR="00860E85" w:rsidRPr="00860E85" w:rsidRDefault="00860E85" w:rsidP="00860E85">
      <w:pPr>
        <w:widowControl/>
        <w:shd w:val="clear" w:color="auto" w:fill="FFFFFF"/>
        <w:spacing w:line="480" w:lineRule="atLeast"/>
        <w:jc w:val="center"/>
        <w:rPr>
          <w:rFonts w:ascii="simsun" w:eastAsia="宋体" w:hAnsi="simsun" w:cs="宋体"/>
          <w:color w:val="3E3E3E"/>
          <w:kern w:val="0"/>
          <w:sz w:val="24"/>
          <w:szCs w:val="24"/>
        </w:rPr>
      </w:pPr>
      <w:r w:rsidRPr="00860E85">
        <w:rPr>
          <w:rFonts w:ascii="simsun" w:eastAsia="宋体" w:hAnsi="simsun" w:cs="宋体"/>
          <w:b/>
          <w:bCs/>
          <w:color w:val="3E3E3E"/>
          <w:kern w:val="0"/>
          <w:sz w:val="20"/>
          <w:szCs w:val="20"/>
        </w:rPr>
        <w:t>表</w:t>
      </w:r>
      <w:r w:rsidRPr="00860E85">
        <w:rPr>
          <w:rFonts w:ascii="simsun" w:eastAsia="宋体" w:hAnsi="simsun" w:cs="宋体"/>
          <w:b/>
          <w:bCs/>
          <w:color w:val="3E3E3E"/>
          <w:kern w:val="0"/>
          <w:sz w:val="20"/>
          <w:szCs w:val="20"/>
        </w:rPr>
        <w:t xml:space="preserve">2 </w:t>
      </w:r>
      <w:r w:rsidRPr="00860E85">
        <w:rPr>
          <w:rFonts w:ascii="simsun" w:eastAsia="宋体" w:hAnsi="simsun" w:cs="宋体"/>
          <w:b/>
          <w:bCs/>
          <w:color w:val="3E3E3E"/>
          <w:kern w:val="0"/>
          <w:sz w:val="20"/>
          <w:szCs w:val="20"/>
        </w:rPr>
        <w:t>安全监督管理部门开展安全监督检查信息统计表</w:t>
      </w:r>
    </w:p>
    <w:tbl>
      <w:tblPr>
        <w:tblW w:w="8610" w:type="dxa"/>
        <w:tblCellSpacing w:w="0" w:type="dxa"/>
        <w:shd w:val="clear" w:color="auto" w:fill="FFFFFF"/>
        <w:tblCellMar>
          <w:left w:w="0" w:type="dxa"/>
          <w:right w:w="0" w:type="dxa"/>
        </w:tblCellMar>
        <w:tblLook w:val="04A0" w:firstRow="1" w:lastRow="0" w:firstColumn="1" w:lastColumn="0" w:noHBand="0" w:noVBand="1"/>
      </w:tblPr>
      <w:tblGrid>
        <w:gridCol w:w="1902"/>
        <w:gridCol w:w="1260"/>
        <w:gridCol w:w="322"/>
        <w:gridCol w:w="5126"/>
      </w:tblGrid>
      <w:tr w:rsidR="00860E85" w:rsidRPr="00860E85" w:rsidTr="00860E85">
        <w:trPr>
          <w:trHeight w:val="450"/>
          <w:tblCellSpacing w:w="0" w:type="dxa"/>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监管部门名称：</w:t>
            </w:r>
          </w:p>
        </w:tc>
        <w:tc>
          <w:tcPr>
            <w:tcW w:w="4877" w:type="dxa"/>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日期：</w:t>
            </w:r>
          </w:p>
        </w:tc>
      </w:tr>
      <w:tr w:rsidR="00860E85" w:rsidRPr="00860E85" w:rsidTr="00860E85">
        <w:trPr>
          <w:trHeight w:val="450"/>
          <w:tblCellSpacing w:w="0" w:type="dxa"/>
        </w:trPr>
        <w:tc>
          <w:tcPr>
            <w:tcW w:w="8610" w:type="dxa"/>
            <w:gridSpan w:val="4"/>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开展特种设备使用单位安全监督检查基本信息统计</w:t>
            </w:r>
          </w:p>
        </w:tc>
      </w:tr>
      <w:tr w:rsidR="00860E85" w:rsidRPr="00860E85" w:rsidTr="00860E85">
        <w:trPr>
          <w:trHeight w:val="450"/>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信息内容</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数量</w:t>
            </w:r>
          </w:p>
        </w:tc>
        <w:tc>
          <w:tcPr>
            <w:tcW w:w="5222"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说明</w:t>
            </w:r>
          </w:p>
        </w:tc>
      </w:tr>
      <w:tr w:rsidR="00860E85" w:rsidRPr="00860E85" w:rsidTr="00860E85">
        <w:trPr>
          <w:trHeight w:val="450"/>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开展现场监督检查</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right"/>
              <w:rPr>
                <w:rFonts w:ascii="simsun" w:eastAsia="宋体" w:hAnsi="simsun" w:cs="宋体"/>
                <w:color w:val="000000"/>
                <w:kern w:val="0"/>
                <w:szCs w:val="21"/>
              </w:rPr>
            </w:pPr>
            <w:r w:rsidRPr="00860E85">
              <w:rPr>
                <w:rFonts w:ascii="simsun" w:eastAsia="宋体" w:hAnsi="simsun" w:cs="宋体"/>
                <w:color w:val="000000"/>
                <w:kern w:val="0"/>
                <w:sz w:val="20"/>
                <w:szCs w:val="20"/>
              </w:rPr>
              <w:t>（次）</w:t>
            </w:r>
          </w:p>
        </w:tc>
        <w:tc>
          <w:tcPr>
            <w:tcW w:w="5222"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rHeight w:val="450"/>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检查使用单位</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right"/>
              <w:rPr>
                <w:rFonts w:ascii="simsun" w:eastAsia="宋体" w:hAnsi="simsun" w:cs="宋体"/>
                <w:color w:val="000000"/>
                <w:kern w:val="0"/>
                <w:szCs w:val="21"/>
              </w:rPr>
            </w:pPr>
            <w:r w:rsidRPr="00860E85">
              <w:rPr>
                <w:rFonts w:ascii="simsun" w:eastAsia="宋体" w:hAnsi="simsun" w:cs="宋体"/>
                <w:color w:val="000000"/>
                <w:kern w:val="0"/>
                <w:sz w:val="20"/>
                <w:szCs w:val="20"/>
              </w:rPr>
              <w:t>（家）</w:t>
            </w:r>
          </w:p>
        </w:tc>
        <w:tc>
          <w:tcPr>
            <w:tcW w:w="5222"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rHeight w:val="450"/>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检查设备</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right"/>
              <w:rPr>
                <w:rFonts w:ascii="simsun" w:eastAsia="宋体" w:hAnsi="simsun" w:cs="宋体"/>
                <w:color w:val="000000"/>
                <w:kern w:val="0"/>
                <w:szCs w:val="21"/>
              </w:rPr>
            </w:pPr>
            <w:r w:rsidRPr="00860E85">
              <w:rPr>
                <w:rFonts w:ascii="simsun" w:eastAsia="宋体" w:hAnsi="simsun" w:cs="宋体"/>
                <w:color w:val="000000"/>
                <w:kern w:val="0"/>
                <w:sz w:val="20"/>
                <w:szCs w:val="20"/>
              </w:rPr>
              <w:t>（台套）</w:t>
            </w:r>
          </w:p>
        </w:tc>
        <w:tc>
          <w:tcPr>
            <w:tcW w:w="5222"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rHeight w:val="450"/>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发现安全隐患</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right"/>
              <w:rPr>
                <w:rFonts w:ascii="simsun" w:eastAsia="宋体" w:hAnsi="simsun" w:cs="宋体"/>
                <w:color w:val="000000"/>
                <w:kern w:val="0"/>
                <w:szCs w:val="21"/>
              </w:rPr>
            </w:pPr>
            <w:r w:rsidRPr="00860E85">
              <w:rPr>
                <w:rFonts w:ascii="simsun" w:eastAsia="宋体" w:hAnsi="simsun" w:cs="宋体"/>
                <w:color w:val="000000"/>
                <w:kern w:val="0"/>
                <w:sz w:val="20"/>
                <w:szCs w:val="20"/>
              </w:rPr>
              <w:t>（起）</w:t>
            </w:r>
          </w:p>
        </w:tc>
        <w:tc>
          <w:tcPr>
            <w:tcW w:w="5222"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rHeight w:val="450"/>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完成隐患治理</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right"/>
              <w:rPr>
                <w:rFonts w:ascii="simsun" w:eastAsia="宋体" w:hAnsi="simsun" w:cs="宋体"/>
                <w:color w:val="000000"/>
                <w:kern w:val="0"/>
                <w:szCs w:val="21"/>
              </w:rPr>
            </w:pPr>
            <w:r w:rsidRPr="00860E85">
              <w:rPr>
                <w:rFonts w:ascii="simsun" w:eastAsia="宋体" w:hAnsi="simsun" w:cs="宋体"/>
                <w:color w:val="000000"/>
                <w:kern w:val="0"/>
                <w:sz w:val="20"/>
                <w:szCs w:val="20"/>
              </w:rPr>
              <w:t>（起）</w:t>
            </w:r>
          </w:p>
        </w:tc>
        <w:tc>
          <w:tcPr>
            <w:tcW w:w="5222"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rHeight w:val="330"/>
          <w:tblCellSpacing w:w="0" w:type="dxa"/>
        </w:trPr>
        <w:tc>
          <w:tcPr>
            <w:tcW w:w="8610" w:type="dxa"/>
            <w:gridSpan w:val="4"/>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安全监督检查发现问题所采取的处理措施统计</w:t>
            </w:r>
          </w:p>
        </w:tc>
      </w:tr>
      <w:tr w:rsidR="00860E85" w:rsidRPr="00860E85" w:rsidTr="00860E85">
        <w:trPr>
          <w:trHeight w:val="450"/>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处理措施</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数量（起）</w:t>
            </w:r>
          </w:p>
        </w:tc>
        <w:tc>
          <w:tcPr>
            <w:tcW w:w="5222"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center"/>
              <w:rPr>
                <w:rFonts w:ascii="simsun" w:eastAsia="宋体" w:hAnsi="simsun" w:cs="宋体"/>
                <w:color w:val="000000"/>
                <w:kern w:val="0"/>
                <w:szCs w:val="21"/>
              </w:rPr>
            </w:pPr>
            <w:r w:rsidRPr="00860E85">
              <w:rPr>
                <w:rFonts w:ascii="simsun" w:eastAsia="宋体" w:hAnsi="simsun" w:cs="宋体"/>
                <w:b/>
                <w:bCs/>
                <w:color w:val="000000"/>
                <w:kern w:val="0"/>
                <w:sz w:val="20"/>
                <w:szCs w:val="20"/>
              </w:rPr>
              <w:t>补充说明</w:t>
            </w:r>
          </w:p>
        </w:tc>
      </w:tr>
      <w:tr w:rsidR="00860E85" w:rsidRPr="00860E85" w:rsidTr="00860E85">
        <w:trPr>
          <w:trHeight w:val="450"/>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下达监察指令书</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5222"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rHeight w:val="450"/>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实施查封</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5222"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rHeight w:val="450"/>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实施扣押</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5222"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rHeight w:val="450"/>
          <w:tblCellSpacing w:w="0" w:type="dxa"/>
        </w:trPr>
        <w:tc>
          <w:tcPr>
            <w:tcW w:w="0" w:type="auto"/>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其他措施</w:t>
            </w:r>
          </w:p>
        </w:tc>
        <w:tc>
          <w:tcPr>
            <w:tcW w:w="0" w:type="auto"/>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c>
          <w:tcPr>
            <w:tcW w:w="5222" w:type="dxa"/>
            <w:gridSpan w:val="2"/>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20" w:lineRule="atLeast"/>
              <w:jc w:val="left"/>
              <w:rPr>
                <w:rFonts w:ascii="simsun" w:eastAsia="宋体" w:hAnsi="simsun" w:cs="宋体"/>
                <w:color w:val="000000"/>
                <w:kern w:val="0"/>
                <w:szCs w:val="21"/>
              </w:rPr>
            </w:pPr>
          </w:p>
        </w:tc>
      </w:tr>
      <w:tr w:rsidR="00860E85" w:rsidRPr="00860E85" w:rsidTr="00860E85">
        <w:trPr>
          <w:trHeight w:val="2595"/>
          <w:tblCellSpacing w:w="0" w:type="dxa"/>
        </w:trPr>
        <w:tc>
          <w:tcPr>
            <w:tcW w:w="8610" w:type="dxa"/>
            <w:gridSpan w:val="4"/>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60E85" w:rsidRPr="00860E85" w:rsidRDefault="00860E85" w:rsidP="00860E85">
            <w:pPr>
              <w:widowControl/>
              <w:wordWrap w:val="0"/>
              <w:spacing w:line="435" w:lineRule="atLeast"/>
              <w:jc w:val="left"/>
              <w:rPr>
                <w:rFonts w:ascii="simsun" w:eastAsia="宋体" w:hAnsi="simsun" w:cs="宋体"/>
                <w:color w:val="000000"/>
                <w:kern w:val="0"/>
                <w:szCs w:val="21"/>
              </w:rPr>
            </w:pPr>
            <w:r w:rsidRPr="00860E85">
              <w:rPr>
                <w:rFonts w:ascii="simsun" w:eastAsia="宋体" w:hAnsi="simsun" w:cs="宋体"/>
                <w:color w:val="000000"/>
                <w:kern w:val="0"/>
                <w:sz w:val="20"/>
                <w:szCs w:val="20"/>
              </w:rPr>
              <w:t>总结说明：</w:t>
            </w:r>
          </w:p>
        </w:tc>
      </w:tr>
      <w:tr w:rsidR="00860E85" w:rsidRPr="00860E85" w:rsidTr="00860E85">
        <w:trPr>
          <w:tblCellSpacing w:w="0" w:type="dxa"/>
        </w:trPr>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860E85" w:rsidRPr="00860E85" w:rsidRDefault="00860E85" w:rsidP="00860E85">
            <w:pPr>
              <w:widowControl/>
              <w:wordWrap w:val="0"/>
              <w:spacing w:line="420" w:lineRule="atLeast"/>
              <w:jc w:val="left"/>
              <w:rPr>
                <w:rFonts w:ascii="simsun" w:eastAsia="宋体" w:hAnsi="simsun" w:cs="宋体"/>
                <w:color w:val="000000"/>
                <w:kern w:val="0"/>
                <w:sz w:val="1"/>
                <w:szCs w:val="21"/>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860E85" w:rsidRPr="00860E85" w:rsidRDefault="00860E85" w:rsidP="00860E85">
            <w:pPr>
              <w:widowControl/>
              <w:wordWrap w:val="0"/>
              <w:spacing w:line="420" w:lineRule="atLeast"/>
              <w:jc w:val="left"/>
              <w:rPr>
                <w:rFonts w:ascii="simsun" w:eastAsia="宋体" w:hAnsi="simsun" w:cs="宋体"/>
                <w:color w:val="000000"/>
                <w:kern w:val="0"/>
                <w:sz w:val="1"/>
                <w:szCs w:val="21"/>
              </w:rPr>
            </w:pPr>
          </w:p>
        </w:tc>
        <w:tc>
          <w:tcPr>
            <w:tcW w:w="0" w:type="auto"/>
            <w:tcBorders>
              <w:top w:val="nil"/>
              <w:left w:val="nil"/>
              <w:bottom w:val="nil"/>
              <w:right w:val="nil"/>
            </w:tcBorders>
            <w:shd w:val="clear" w:color="auto" w:fill="FFFFFF"/>
            <w:tcMar>
              <w:top w:w="75" w:type="dxa"/>
              <w:left w:w="150" w:type="dxa"/>
              <w:bottom w:w="75" w:type="dxa"/>
              <w:right w:w="150" w:type="dxa"/>
            </w:tcMar>
            <w:vAlign w:val="center"/>
            <w:hideMark/>
          </w:tcPr>
          <w:p w:rsidR="00860E85" w:rsidRPr="00860E85" w:rsidRDefault="00860E85" w:rsidP="00860E85">
            <w:pPr>
              <w:widowControl/>
              <w:wordWrap w:val="0"/>
              <w:spacing w:line="420" w:lineRule="atLeast"/>
              <w:jc w:val="left"/>
              <w:rPr>
                <w:rFonts w:ascii="simsun" w:eastAsia="宋体" w:hAnsi="simsun" w:cs="宋体"/>
                <w:color w:val="000000"/>
                <w:kern w:val="0"/>
                <w:sz w:val="1"/>
                <w:szCs w:val="21"/>
              </w:rPr>
            </w:pPr>
          </w:p>
        </w:tc>
        <w:tc>
          <w:tcPr>
            <w:tcW w:w="4877" w:type="dxa"/>
            <w:tcBorders>
              <w:top w:val="nil"/>
              <w:left w:val="nil"/>
              <w:bottom w:val="nil"/>
              <w:right w:val="nil"/>
            </w:tcBorders>
            <w:shd w:val="clear" w:color="auto" w:fill="FFFFFF"/>
            <w:tcMar>
              <w:top w:w="75" w:type="dxa"/>
              <w:left w:w="150" w:type="dxa"/>
              <w:bottom w:w="75" w:type="dxa"/>
              <w:right w:w="150" w:type="dxa"/>
            </w:tcMar>
            <w:vAlign w:val="center"/>
            <w:hideMark/>
          </w:tcPr>
          <w:p w:rsidR="00860E85" w:rsidRPr="00860E85" w:rsidRDefault="00860E85" w:rsidP="00860E85">
            <w:pPr>
              <w:widowControl/>
              <w:wordWrap w:val="0"/>
              <w:spacing w:line="420" w:lineRule="atLeast"/>
              <w:jc w:val="left"/>
              <w:rPr>
                <w:rFonts w:ascii="simsun" w:eastAsia="宋体" w:hAnsi="simsun" w:cs="宋体"/>
                <w:color w:val="000000"/>
                <w:kern w:val="0"/>
                <w:sz w:val="1"/>
                <w:szCs w:val="21"/>
              </w:rPr>
            </w:pPr>
          </w:p>
        </w:tc>
      </w:tr>
    </w:tbl>
    <w:p w:rsidR="00860E85" w:rsidRPr="00DA458C" w:rsidRDefault="00860E85">
      <w:pPr>
        <w:rPr>
          <w:sz w:val="30"/>
          <w:szCs w:val="30"/>
        </w:rPr>
      </w:pPr>
    </w:p>
    <w:sectPr w:rsidR="00860E85" w:rsidRPr="00DA45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DD"/>
    <w:rsid w:val="00860E85"/>
    <w:rsid w:val="0099052A"/>
    <w:rsid w:val="00DA458C"/>
    <w:rsid w:val="00E94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9896">
      <w:bodyDiv w:val="1"/>
      <w:marLeft w:val="0"/>
      <w:marRight w:val="0"/>
      <w:marTop w:val="0"/>
      <w:marBottom w:val="0"/>
      <w:divBdr>
        <w:top w:val="none" w:sz="0" w:space="0" w:color="auto"/>
        <w:left w:val="none" w:sz="0" w:space="0" w:color="auto"/>
        <w:bottom w:val="none" w:sz="0" w:space="0" w:color="auto"/>
        <w:right w:val="none" w:sz="0" w:space="0" w:color="auto"/>
      </w:divBdr>
    </w:div>
    <w:div w:id="1537304625">
      <w:bodyDiv w:val="1"/>
      <w:marLeft w:val="0"/>
      <w:marRight w:val="0"/>
      <w:marTop w:val="0"/>
      <w:marBottom w:val="0"/>
      <w:divBdr>
        <w:top w:val="none" w:sz="0" w:space="0" w:color="auto"/>
        <w:left w:val="none" w:sz="0" w:space="0" w:color="auto"/>
        <w:bottom w:val="none" w:sz="0" w:space="0" w:color="auto"/>
        <w:right w:val="none" w:sz="0" w:space="0" w:color="auto"/>
      </w:divBdr>
    </w:div>
    <w:div w:id="18166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3</cp:revision>
  <dcterms:created xsi:type="dcterms:W3CDTF">2017-04-07T00:57:00Z</dcterms:created>
  <dcterms:modified xsi:type="dcterms:W3CDTF">2017-04-07T00:59:00Z</dcterms:modified>
</cp:coreProperties>
</file>